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D2C5" w14:textId="77777777" w:rsidR="00E97408" w:rsidRPr="0084778E" w:rsidRDefault="00000000" w:rsidP="00E97408">
      <w:pPr>
        <w:jc w:val="center"/>
        <w:rPr>
          <w:rFonts w:cs="Times New Roman"/>
          <w:b/>
          <w:bCs/>
          <w:sz w:val="28"/>
          <w:szCs w:val="28"/>
          <w:shd w:val="clear" w:color="auto" w:fill="FFFFFF"/>
        </w:rPr>
      </w:pPr>
      <w:r w:rsidRPr="0084778E">
        <w:rPr>
          <w:rFonts w:cs="Times New Roman"/>
          <w:b/>
          <w:bCs/>
          <w:sz w:val="28"/>
          <w:szCs w:val="28"/>
          <w:shd w:val="clear" w:color="auto" w:fill="FFFFFF"/>
        </w:rPr>
        <w:t xml:space="preserve">Upper Secondary School Student </w:t>
      </w:r>
      <w:bookmarkStart w:id="0" w:name="_Hlk161121858"/>
      <w:r w:rsidRPr="0084778E">
        <w:rPr>
          <w:rFonts w:cs="Times New Roman"/>
          <w:b/>
          <w:bCs/>
          <w:sz w:val="28"/>
          <w:szCs w:val="28"/>
          <w:shd w:val="clear" w:color="auto" w:fill="FFFFFF"/>
        </w:rPr>
        <w:t>Digital Information Fluency:</w:t>
      </w:r>
      <w:bookmarkEnd w:id="0"/>
    </w:p>
    <w:p w14:paraId="46C4CE6B" w14:textId="77777777" w:rsidR="00E97408" w:rsidRPr="0084778E" w:rsidRDefault="00000000" w:rsidP="00E97408">
      <w:pPr>
        <w:jc w:val="center"/>
        <w:rPr>
          <w:rFonts w:cs="Times New Roman"/>
          <w:b/>
          <w:bCs/>
          <w:sz w:val="24"/>
          <w:szCs w:val="24"/>
          <w:shd w:val="clear" w:color="auto" w:fill="FFFFFF"/>
        </w:rPr>
      </w:pPr>
      <w:r w:rsidRPr="0084778E">
        <w:rPr>
          <w:rFonts w:cs="Times New Roman"/>
          <w:b/>
          <w:bCs/>
          <w:sz w:val="28"/>
          <w:szCs w:val="28"/>
          <w:shd w:val="clear" w:color="auto" w:fill="FFFFFF"/>
        </w:rPr>
        <w:t>A Second-Order Confirmatory Factor Analysis</w:t>
      </w:r>
    </w:p>
    <w:p w14:paraId="75B75D16" w14:textId="77777777" w:rsidR="00555CA1" w:rsidRPr="0084778E" w:rsidRDefault="00555CA1" w:rsidP="00D6757F">
      <w:pPr>
        <w:widowControl w:val="0"/>
        <w:spacing w:line="360" w:lineRule="auto"/>
        <w:jc w:val="center"/>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FE5EC8" w14:paraId="186A95C6" w14:textId="77777777" w:rsidTr="004031CA">
        <w:trPr>
          <w:trHeight w:val="203"/>
          <w:jc w:val="center"/>
        </w:trPr>
        <w:tc>
          <w:tcPr>
            <w:tcW w:w="2093" w:type="dxa"/>
            <w:tcBorders>
              <w:bottom w:val="single" w:sz="4" w:space="0" w:color="auto"/>
            </w:tcBorders>
            <w:shd w:val="clear" w:color="auto" w:fill="auto"/>
            <w:vAlign w:val="center"/>
          </w:tcPr>
          <w:p w14:paraId="167B1D71" w14:textId="77777777" w:rsidR="0061751E" w:rsidRPr="0084778E" w:rsidRDefault="00000000" w:rsidP="00D6757F">
            <w:pPr>
              <w:widowControl w:val="0"/>
              <w:spacing w:line="360" w:lineRule="auto"/>
              <w:rPr>
                <w:b/>
                <w:sz w:val="24"/>
                <w:szCs w:val="24"/>
              </w:rPr>
            </w:pPr>
            <w:bookmarkStart w:id="1" w:name="_Hlk161198413"/>
            <w:r w:rsidRPr="0084778E">
              <w:rPr>
                <w:b/>
                <w:sz w:val="24"/>
                <w:szCs w:val="24"/>
              </w:rPr>
              <w:t>Article Info</w:t>
            </w:r>
          </w:p>
        </w:tc>
        <w:tc>
          <w:tcPr>
            <w:tcW w:w="425" w:type="dxa"/>
            <w:vAlign w:val="center"/>
          </w:tcPr>
          <w:p w14:paraId="0C2522B0" w14:textId="77777777" w:rsidR="0061751E" w:rsidRPr="0084778E"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14:paraId="07B07AFB" w14:textId="77777777" w:rsidR="0061751E" w:rsidRPr="0084778E" w:rsidRDefault="00000000" w:rsidP="00D6757F">
            <w:pPr>
              <w:widowControl w:val="0"/>
              <w:spacing w:line="360" w:lineRule="auto"/>
              <w:ind w:left="-15"/>
              <w:rPr>
                <w:b/>
                <w:sz w:val="24"/>
                <w:szCs w:val="24"/>
              </w:rPr>
            </w:pPr>
            <w:r w:rsidRPr="0084778E">
              <w:rPr>
                <w:b/>
                <w:sz w:val="24"/>
                <w:szCs w:val="24"/>
              </w:rPr>
              <w:t>Abstract</w:t>
            </w:r>
          </w:p>
        </w:tc>
      </w:tr>
      <w:tr w:rsidR="00FE5EC8" w14:paraId="7019B76C" w14:textId="77777777" w:rsidTr="004031CA">
        <w:trPr>
          <w:trHeight w:val="2300"/>
          <w:jc w:val="center"/>
        </w:trPr>
        <w:tc>
          <w:tcPr>
            <w:tcW w:w="2093" w:type="dxa"/>
            <w:tcBorders>
              <w:top w:val="single" w:sz="4" w:space="0" w:color="auto"/>
            </w:tcBorders>
            <w:shd w:val="clear" w:color="auto" w:fill="auto"/>
          </w:tcPr>
          <w:p w14:paraId="4C00954F" w14:textId="77777777" w:rsidR="0061751E" w:rsidRPr="0084778E" w:rsidRDefault="00000000" w:rsidP="00D6757F">
            <w:pPr>
              <w:widowControl w:val="0"/>
              <w:spacing w:line="360" w:lineRule="auto"/>
              <w:rPr>
                <w:b/>
                <w:i/>
                <w:szCs w:val="20"/>
              </w:rPr>
            </w:pPr>
            <w:r w:rsidRPr="0084778E">
              <w:rPr>
                <w:b/>
                <w:i/>
                <w:szCs w:val="20"/>
              </w:rPr>
              <w:t>Article History</w:t>
            </w:r>
          </w:p>
          <w:p w14:paraId="4D6CE35F" w14:textId="77777777" w:rsidR="0061751E" w:rsidRPr="0084778E" w:rsidRDefault="00000000" w:rsidP="00D6757F">
            <w:pPr>
              <w:widowControl w:val="0"/>
              <w:spacing w:line="360" w:lineRule="auto"/>
              <w:rPr>
                <w:sz w:val="16"/>
                <w:szCs w:val="16"/>
              </w:rPr>
            </w:pPr>
            <w:r w:rsidRPr="0084778E">
              <w:rPr>
                <w:sz w:val="16"/>
                <w:szCs w:val="16"/>
              </w:rPr>
              <w:t>Received:</w:t>
            </w:r>
          </w:p>
          <w:p w14:paraId="655B8E06" w14:textId="77777777" w:rsidR="0061751E" w:rsidRPr="0084778E" w:rsidRDefault="00000000" w:rsidP="00D6757F">
            <w:pPr>
              <w:widowControl w:val="0"/>
              <w:spacing w:line="360" w:lineRule="auto"/>
              <w:jc w:val="left"/>
              <w:rPr>
                <w:sz w:val="16"/>
                <w:szCs w:val="16"/>
              </w:rPr>
            </w:pPr>
            <w:r w:rsidRPr="0084778E">
              <w:rPr>
                <w:sz w:val="16"/>
                <w:szCs w:val="16"/>
              </w:rPr>
              <w:t>14 March 2024</w:t>
            </w:r>
          </w:p>
          <w:p w14:paraId="04646635" w14:textId="77777777" w:rsidR="0061751E" w:rsidRPr="0084778E" w:rsidRDefault="00000000" w:rsidP="00D6757F">
            <w:pPr>
              <w:widowControl w:val="0"/>
              <w:spacing w:line="360" w:lineRule="auto"/>
              <w:rPr>
                <w:sz w:val="16"/>
                <w:szCs w:val="16"/>
              </w:rPr>
            </w:pPr>
            <w:r w:rsidRPr="0084778E">
              <w:rPr>
                <w:sz w:val="16"/>
                <w:szCs w:val="16"/>
              </w:rPr>
              <w:t>Accepted:</w:t>
            </w:r>
          </w:p>
          <w:p w14:paraId="1AB1B38E" w14:textId="6E843B96" w:rsidR="0061751E" w:rsidRPr="0084778E" w:rsidRDefault="00000000" w:rsidP="00D6757F">
            <w:pPr>
              <w:widowControl w:val="0"/>
              <w:spacing w:line="360" w:lineRule="auto"/>
              <w:jc w:val="left"/>
              <w:rPr>
                <w:sz w:val="16"/>
                <w:szCs w:val="16"/>
              </w:rPr>
            </w:pPr>
            <w:r w:rsidRPr="0084778E">
              <w:rPr>
                <w:sz w:val="16"/>
                <w:szCs w:val="16"/>
              </w:rPr>
              <w:t xml:space="preserve">01 Month </w:t>
            </w:r>
            <w:r w:rsidR="00E5048A">
              <w:rPr>
                <w:sz w:val="16"/>
                <w:szCs w:val="16"/>
              </w:rPr>
              <w:t>2024</w:t>
            </w:r>
          </w:p>
          <w:p w14:paraId="2E42202F" w14:textId="77777777" w:rsidR="0061751E" w:rsidRPr="0084778E" w:rsidRDefault="0061751E" w:rsidP="00D6757F">
            <w:pPr>
              <w:widowControl w:val="0"/>
              <w:spacing w:line="360" w:lineRule="auto"/>
              <w:rPr>
                <w:sz w:val="16"/>
                <w:szCs w:val="16"/>
              </w:rPr>
            </w:pPr>
          </w:p>
        </w:tc>
        <w:tc>
          <w:tcPr>
            <w:tcW w:w="425" w:type="dxa"/>
          </w:tcPr>
          <w:p w14:paraId="39D97D7F" w14:textId="77777777" w:rsidR="0061751E" w:rsidRPr="0084778E" w:rsidRDefault="0061751E" w:rsidP="00D6757F">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67B0437B" w14:textId="0A5DEE5D" w:rsidR="00100019" w:rsidRPr="0084778E" w:rsidRDefault="00000000" w:rsidP="00450143">
            <w:pPr>
              <w:widowControl w:val="0"/>
              <w:spacing w:line="360" w:lineRule="auto"/>
              <w:ind w:left="-15"/>
              <w:rPr>
                <w:szCs w:val="20"/>
                <w:lang w:val="en-MY"/>
              </w:rPr>
            </w:pPr>
            <w:r w:rsidRPr="0084778E">
              <w:t>This research aimed to investigate the components of digital information fluency (DIF) skills among high school students</w:t>
            </w:r>
            <w:r w:rsidR="005827DB" w:rsidRPr="0084778E">
              <w:t xml:space="preserve">. </w:t>
            </w:r>
            <w:r w:rsidRPr="0084778E">
              <w:t xml:space="preserve">The sample comprised 354 teachers from schools supervised by the Office of the Basic Education Commission (OBEC) Secondary Educational Service Area Offices (SEAOs), selected through multiple-stage random sampling. </w:t>
            </w:r>
            <w:r w:rsidR="005827DB" w:rsidRPr="0084778E">
              <w:t xml:space="preserve">Their opinions concerning student DIF skills </w:t>
            </w:r>
            <w:r w:rsidRPr="0084778E">
              <w:t xml:space="preserve">were collected via a questionnaire and analyzed using descriptive statistics and </w:t>
            </w:r>
            <w:r w:rsidR="005827DB" w:rsidRPr="0084778E">
              <w:t>a 2</w:t>
            </w:r>
            <w:r w:rsidR="005827DB" w:rsidRPr="0084778E">
              <w:rPr>
                <w:vertAlign w:val="superscript"/>
              </w:rPr>
              <w:t>nd</w:t>
            </w:r>
            <w:r w:rsidR="005827DB" w:rsidRPr="0084778E">
              <w:t xml:space="preserve"> </w:t>
            </w:r>
            <w:r w:rsidRPr="0084778E">
              <w:t xml:space="preserve">-order confirmatory factor analysis (CFA). Results revealed a high overall level of opinion among technology teachers regarding </w:t>
            </w:r>
            <w:r w:rsidR="005827DB" w:rsidRPr="0084778E">
              <w:t xml:space="preserve">student </w:t>
            </w:r>
            <w:r w:rsidRPr="0084778E">
              <w:t>DIF skills, with Digital Data Communication (DDC) exhibiting the highest weight (</w:t>
            </w:r>
            <w:r w:rsidR="00DD52D4" w:rsidRPr="00DD52D4">
              <w:rPr>
                <w:rFonts w:cs="Times New Roman"/>
                <w:szCs w:val="20"/>
              </w:rPr>
              <w:t>β</w:t>
            </w:r>
            <w:r w:rsidRPr="00DD52D4">
              <w:t xml:space="preserve"> </w:t>
            </w:r>
            <w:r w:rsidRPr="0084778E">
              <w:t>= 1.00, R</w:t>
            </w:r>
            <w:r w:rsidRPr="0084778E">
              <w:rPr>
                <w:vertAlign w:val="superscript"/>
              </w:rPr>
              <w:t>2</w:t>
            </w:r>
            <w:r w:rsidRPr="0084778E">
              <w:t xml:space="preserve"> = 1.00), followed by Digital Literacy (DL) (</w:t>
            </w:r>
            <w:r w:rsidR="00DD52D4" w:rsidRPr="00DD52D4">
              <w:rPr>
                <w:rFonts w:cs="Times New Roman"/>
                <w:szCs w:val="20"/>
              </w:rPr>
              <w:t>β</w:t>
            </w:r>
            <w:r w:rsidRPr="0084778E">
              <w:t xml:space="preserve"> = 0.97, R</w:t>
            </w:r>
            <w:r w:rsidRPr="0084778E">
              <w:rPr>
                <w:vertAlign w:val="superscript"/>
              </w:rPr>
              <w:t>2</w:t>
            </w:r>
            <w:r w:rsidRPr="0084778E">
              <w:t xml:space="preserve"> = 0.95), and Digital Information Management (DIM) (</w:t>
            </w:r>
            <w:r w:rsidR="00DD52D4" w:rsidRPr="00DD52D4">
              <w:rPr>
                <w:rFonts w:cs="Times New Roman"/>
                <w:szCs w:val="20"/>
              </w:rPr>
              <w:t>β</w:t>
            </w:r>
            <w:r w:rsidRPr="0084778E">
              <w:t xml:space="preserve"> = 0.91, R</w:t>
            </w:r>
            <w:r w:rsidRPr="0084778E">
              <w:rPr>
                <w:vertAlign w:val="superscript"/>
              </w:rPr>
              <w:t>2</w:t>
            </w:r>
            <w:r w:rsidRPr="0084778E">
              <w:t xml:space="preserve"> = 0.83). This study contributes to the literature by providing insights into the perception of DIF skills among teachers, shedding light on areas of emphasis in digital fluency education. Additionally, it offers valuable implications for curriculum development and teacher training programs aimed at enhancing students' digital literacy in today's information-rich environment.</w:t>
            </w:r>
          </w:p>
        </w:tc>
      </w:tr>
      <w:bookmarkEnd w:id="1"/>
      <w:tr w:rsidR="00FE5EC8" w14:paraId="7731F8FF" w14:textId="77777777" w:rsidTr="004031CA">
        <w:trPr>
          <w:jc w:val="center"/>
        </w:trPr>
        <w:tc>
          <w:tcPr>
            <w:tcW w:w="2093" w:type="dxa"/>
            <w:tcBorders>
              <w:top w:val="single" w:sz="4" w:space="0" w:color="auto"/>
              <w:bottom w:val="single" w:sz="4" w:space="0" w:color="auto"/>
            </w:tcBorders>
            <w:shd w:val="clear" w:color="auto" w:fill="auto"/>
          </w:tcPr>
          <w:p w14:paraId="259EA019" w14:textId="77777777" w:rsidR="0061751E" w:rsidRPr="0084778E" w:rsidRDefault="00000000" w:rsidP="00D6757F">
            <w:pPr>
              <w:widowControl w:val="0"/>
              <w:spacing w:line="360" w:lineRule="auto"/>
              <w:rPr>
                <w:b/>
                <w:i/>
                <w:szCs w:val="20"/>
              </w:rPr>
            </w:pPr>
            <w:r w:rsidRPr="0084778E">
              <w:rPr>
                <w:b/>
                <w:i/>
                <w:szCs w:val="20"/>
              </w:rPr>
              <w:t>Keywords</w:t>
            </w:r>
          </w:p>
          <w:p w14:paraId="5170AE48" w14:textId="77777777" w:rsidR="00450143" w:rsidRPr="0084778E" w:rsidRDefault="00000000" w:rsidP="00D6757F">
            <w:pPr>
              <w:widowControl w:val="0"/>
              <w:spacing w:line="360" w:lineRule="auto"/>
              <w:jc w:val="left"/>
              <w:rPr>
                <w:sz w:val="12"/>
                <w:szCs w:val="12"/>
              </w:rPr>
            </w:pPr>
            <w:r w:rsidRPr="0084778E">
              <w:rPr>
                <w:rFonts w:cs="Times New Roman"/>
                <w:sz w:val="16"/>
                <w:szCs w:val="16"/>
              </w:rPr>
              <w:t>Digital information fluency</w:t>
            </w:r>
            <w:r w:rsidRPr="0084778E">
              <w:rPr>
                <w:sz w:val="12"/>
                <w:szCs w:val="12"/>
              </w:rPr>
              <w:t xml:space="preserve"> </w:t>
            </w:r>
          </w:p>
          <w:p w14:paraId="6ADAD9C5" w14:textId="77777777" w:rsidR="00211D8D" w:rsidRPr="0084778E" w:rsidRDefault="00000000" w:rsidP="00211D8D">
            <w:pPr>
              <w:widowControl w:val="0"/>
              <w:spacing w:line="360" w:lineRule="auto"/>
              <w:jc w:val="left"/>
              <w:rPr>
                <w:sz w:val="16"/>
                <w:szCs w:val="16"/>
              </w:rPr>
            </w:pPr>
            <w:r w:rsidRPr="0084778E">
              <w:rPr>
                <w:sz w:val="16"/>
                <w:szCs w:val="16"/>
              </w:rPr>
              <w:t>Digital literacy</w:t>
            </w:r>
          </w:p>
          <w:p w14:paraId="68E13DB2" w14:textId="77777777" w:rsidR="007E098D" w:rsidRPr="0084778E" w:rsidRDefault="00000000" w:rsidP="00211D8D">
            <w:pPr>
              <w:widowControl w:val="0"/>
              <w:spacing w:line="360" w:lineRule="auto"/>
              <w:jc w:val="left"/>
              <w:rPr>
                <w:sz w:val="16"/>
                <w:szCs w:val="16"/>
              </w:rPr>
            </w:pPr>
            <w:r w:rsidRPr="0084778E">
              <w:rPr>
                <w:sz w:val="16"/>
                <w:szCs w:val="16"/>
              </w:rPr>
              <w:t>High schools</w:t>
            </w:r>
          </w:p>
          <w:p w14:paraId="2408BB7E" w14:textId="77777777" w:rsidR="0061751E" w:rsidRPr="0084778E" w:rsidRDefault="00000000" w:rsidP="00D6757F">
            <w:pPr>
              <w:widowControl w:val="0"/>
              <w:spacing w:line="360" w:lineRule="auto"/>
              <w:jc w:val="left"/>
              <w:rPr>
                <w:sz w:val="16"/>
                <w:szCs w:val="16"/>
              </w:rPr>
            </w:pPr>
            <w:r w:rsidRPr="0084778E">
              <w:rPr>
                <w:sz w:val="16"/>
                <w:szCs w:val="16"/>
              </w:rPr>
              <w:t>Technology teachers</w:t>
            </w:r>
          </w:p>
          <w:p w14:paraId="7E0DA4D7" w14:textId="77777777" w:rsidR="0061751E" w:rsidRPr="0084778E" w:rsidRDefault="00000000" w:rsidP="00D6757F">
            <w:pPr>
              <w:widowControl w:val="0"/>
              <w:spacing w:line="360" w:lineRule="auto"/>
              <w:jc w:val="left"/>
              <w:rPr>
                <w:sz w:val="18"/>
                <w:szCs w:val="18"/>
              </w:rPr>
            </w:pPr>
            <w:r w:rsidRPr="0084778E">
              <w:rPr>
                <w:sz w:val="18"/>
                <w:szCs w:val="18"/>
              </w:rPr>
              <w:t>Thailand</w:t>
            </w:r>
          </w:p>
        </w:tc>
        <w:tc>
          <w:tcPr>
            <w:tcW w:w="425" w:type="dxa"/>
          </w:tcPr>
          <w:p w14:paraId="6C79C4AA" w14:textId="77777777" w:rsidR="0061751E" w:rsidRPr="0084778E" w:rsidRDefault="0061751E" w:rsidP="00D6757F">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14:paraId="167A91A4" w14:textId="77777777" w:rsidR="0061751E" w:rsidRPr="0084778E" w:rsidRDefault="0061751E" w:rsidP="00D6757F">
            <w:pPr>
              <w:widowControl w:val="0"/>
              <w:spacing w:line="360" w:lineRule="auto"/>
              <w:rPr>
                <w:b/>
                <w:sz w:val="24"/>
                <w:szCs w:val="20"/>
              </w:rPr>
            </w:pPr>
          </w:p>
        </w:tc>
      </w:tr>
    </w:tbl>
    <w:p w14:paraId="532A4639" w14:textId="77777777" w:rsidR="0061751E" w:rsidRPr="0084778E" w:rsidRDefault="0061751E" w:rsidP="00D6757F">
      <w:pPr>
        <w:widowControl w:val="0"/>
        <w:spacing w:line="360" w:lineRule="auto"/>
        <w:rPr>
          <w:szCs w:val="20"/>
        </w:rPr>
      </w:pPr>
    </w:p>
    <w:p w14:paraId="17D4CEA7" w14:textId="77777777" w:rsidR="0061751E" w:rsidRPr="0084778E" w:rsidRDefault="00000000" w:rsidP="00D6757F">
      <w:pPr>
        <w:widowControl w:val="0"/>
        <w:spacing w:line="360" w:lineRule="auto"/>
        <w:rPr>
          <w:b/>
        </w:rPr>
      </w:pPr>
      <w:bookmarkStart w:id="2" w:name="OLE_LINK7"/>
      <w:bookmarkStart w:id="3" w:name="OLE_LINK8"/>
      <w:r w:rsidRPr="0084778E">
        <w:rPr>
          <w:b/>
          <w:sz w:val="24"/>
        </w:rPr>
        <w:t>Introduction</w:t>
      </w:r>
    </w:p>
    <w:p w14:paraId="5A089D41" w14:textId="77777777" w:rsidR="00176378" w:rsidRPr="0084778E" w:rsidRDefault="00176378" w:rsidP="00D6757F">
      <w:pPr>
        <w:widowControl w:val="0"/>
        <w:spacing w:line="360" w:lineRule="auto"/>
      </w:pPr>
    </w:p>
    <w:p w14:paraId="1785B67C" w14:textId="77777777" w:rsidR="00450143" w:rsidRPr="0084778E" w:rsidRDefault="00000000" w:rsidP="00450143">
      <w:pPr>
        <w:widowControl w:val="0"/>
        <w:spacing w:line="360" w:lineRule="auto"/>
        <w:rPr>
          <w:rFonts w:cs="Times New Roman"/>
          <w:szCs w:val="20"/>
          <w:lang w:bidi="th-TH"/>
        </w:rPr>
      </w:pPr>
      <w:r w:rsidRPr="0084778E">
        <w:rPr>
          <w:rFonts w:cs="Times New Roman"/>
          <w:szCs w:val="20"/>
          <w:lang w:bidi="th-TH"/>
        </w:rPr>
        <w:t>In the wake of rapid technological advancement and the pervasive influence of the digital age, education stands at the threshold of transformation. The evolving landscape of technology is reshaping the fundamental paradigms of education, compelling schools to evolve into dynamic learning organizations. These organizations must forge robust partnerships with society and external entities, recalibrating curriculum development and teaching methodologies to align with the exigencies of technological progress and cater to the diverse needs of individual learners (Office of the Education Council, 2017).</w:t>
      </w:r>
    </w:p>
    <w:p w14:paraId="7FB66DC9" w14:textId="77777777" w:rsidR="00450143" w:rsidRPr="0084778E" w:rsidRDefault="00450143" w:rsidP="00450143">
      <w:pPr>
        <w:pStyle w:val="NoSpacing"/>
        <w:spacing w:line="360" w:lineRule="auto"/>
        <w:jc w:val="thaiDistribute"/>
        <w:rPr>
          <w:rFonts w:ascii="Times New Roman" w:hAnsi="Times New Roman" w:cs="Times New Roman"/>
          <w:sz w:val="20"/>
          <w:szCs w:val="20"/>
          <w:lang w:val="en-US" w:bidi="th-TH"/>
        </w:rPr>
      </w:pPr>
    </w:p>
    <w:p w14:paraId="149EC7CF" w14:textId="77777777" w:rsidR="00450143" w:rsidRPr="0084778E" w:rsidRDefault="00000000" w:rsidP="00450143">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Athreya and Mouza (2016) illuminate the imperative for recalibrating our cognitive toolkit in response to the twenty-first-century milieu. They delineate three key factors—about the future, present, and past—that underscore the exigency of this cognitive overhaul. The future, shrouded in uncertainty, portends a terrain dominated by technology and human-machine interactions, alongside profound advancements in our understanding of cognition and learning. In the present, we stand amidst a digital revolution in communication reminiscent of epochal shifts heralded by the advent of writing and the printing press. Concurrently, globalization has ushered in unprecedented interconnectedness, juxtaposed with palpable polarization on historical narratives. Against this backdrop, the interplay of faith, reason, and emotion often obfuscates cogent reasoning, necessitating a recalibration of cognitive frameworks.</w:t>
      </w:r>
    </w:p>
    <w:p w14:paraId="2A64198E" w14:textId="77777777" w:rsidR="00450143" w:rsidRPr="0084778E" w:rsidRDefault="00450143" w:rsidP="00450143">
      <w:pPr>
        <w:pStyle w:val="NoSpacing"/>
        <w:spacing w:line="360" w:lineRule="auto"/>
        <w:jc w:val="thaiDistribute"/>
        <w:rPr>
          <w:rFonts w:ascii="Times New Roman" w:hAnsi="Times New Roman" w:cs="Times New Roman"/>
          <w:sz w:val="20"/>
          <w:szCs w:val="20"/>
          <w:lang w:val="en-US" w:bidi="th-TH"/>
        </w:rPr>
      </w:pPr>
    </w:p>
    <w:p w14:paraId="5D352FC1" w14:textId="77777777" w:rsidR="00450143" w:rsidRPr="0084778E" w:rsidRDefault="00000000" w:rsidP="00450143">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lastRenderedPageBreak/>
        <w:t xml:space="preserve">In this milieu, digital </w:t>
      </w:r>
      <w:r w:rsidR="00DC135E" w:rsidRPr="0084778E">
        <w:rPr>
          <w:rFonts w:ascii="Times New Roman" w:hAnsi="Times New Roman" w:cs="Times New Roman"/>
          <w:sz w:val="20"/>
          <w:szCs w:val="20"/>
          <w:lang w:val="en-US" w:bidi="th-TH"/>
        </w:rPr>
        <w:t xml:space="preserve">information </w:t>
      </w:r>
      <w:r w:rsidRPr="0084778E">
        <w:rPr>
          <w:rFonts w:ascii="Times New Roman" w:hAnsi="Times New Roman" w:cs="Times New Roman"/>
          <w:sz w:val="20"/>
          <w:szCs w:val="20"/>
          <w:lang w:val="en-US" w:bidi="th-TH"/>
        </w:rPr>
        <w:t>fluency emerges as a linchpin skill set for upper secondary school students</w:t>
      </w:r>
      <w:r w:rsidR="0040443F" w:rsidRPr="0084778E">
        <w:rPr>
          <w:rFonts w:ascii="Times New Roman" w:hAnsi="Times New Roman" w:cs="Times New Roman"/>
          <w:sz w:val="20"/>
          <w:szCs w:val="20"/>
          <w:lang w:val="en-US" w:bidi="th-TH"/>
        </w:rPr>
        <w:t xml:space="preserve"> (Figure 1)</w:t>
      </w:r>
      <w:r w:rsidRPr="0084778E">
        <w:rPr>
          <w:rFonts w:ascii="Times New Roman" w:hAnsi="Times New Roman" w:cs="Times New Roman"/>
          <w:sz w:val="20"/>
          <w:szCs w:val="20"/>
          <w:lang w:val="en-US" w:bidi="th-TH"/>
        </w:rPr>
        <w:t>. Acknowledged as vital for navigating the complexities of the contemporary world, digital fluency encompasses proficiency in consuming, comprehending, and leveraging digital media and tools (Massler et al., 2022). Alcívar (2022) underscores its indispensability in confronting the daily deluge of technological challenges, while Toleuzhan et al. (2023) emphasize the burgeoning demand for high-level digital literacy skills in the workforce. Indeed, the cultivation of digital fluency not only augments academic pursuits but also enriches other domains, such as music education, by fostering autonomy and collaboration (Murtadho et al., 2023; Paramita et al., 2023; Resnick (2002) prognosticates that in the foreseeable future, digital fluency will be a sine qua non for employment, civic engagement, and lifelong learning.</w:t>
      </w:r>
    </w:p>
    <w:p w14:paraId="5C75F0C7" w14:textId="77777777" w:rsidR="00DC135E" w:rsidRPr="0084778E" w:rsidRDefault="00000000" w:rsidP="00DC135E">
      <w:pPr>
        <w:pStyle w:val="NoSpacing"/>
        <w:spacing w:line="360" w:lineRule="auto"/>
        <w:jc w:val="center"/>
        <w:rPr>
          <w:rFonts w:ascii="Times New Roman" w:hAnsi="Times New Roman" w:cs="Times New Roman"/>
          <w:sz w:val="20"/>
          <w:szCs w:val="20"/>
          <w:lang w:val="en-US" w:bidi="th-TH"/>
        </w:rPr>
      </w:pPr>
      <w:r w:rsidRPr="0084778E">
        <w:rPr>
          <w:rFonts w:ascii="Times New Roman" w:hAnsi="Times New Roman" w:cs="Times New Roman"/>
          <w:noProof/>
          <w:sz w:val="20"/>
          <w:szCs w:val="20"/>
          <w:lang w:val="en-US" w:bidi="th-TH"/>
        </w:rPr>
        <w:drawing>
          <wp:inline distT="0" distB="0" distL="0" distR="0" wp14:anchorId="700B5FB1" wp14:editId="7F62FA84">
            <wp:extent cx="2342453" cy="2182091"/>
            <wp:effectExtent l="0" t="0" r="1270" b="8890"/>
            <wp:docPr id="63173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3059" name=""/>
                    <pic:cNvPicPr/>
                  </pic:nvPicPr>
                  <pic:blipFill>
                    <a:blip r:embed="rId8"/>
                    <a:stretch>
                      <a:fillRect/>
                    </a:stretch>
                  </pic:blipFill>
                  <pic:spPr>
                    <a:xfrm>
                      <a:off x="0" y="0"/>
                      <a:ext cx="2373840" cy="2211329"/>
                    </a:xfrm>
                    <a:prstGeom prst="rect">
                      <a:avLst/>
                    </a:prstGeom>
                  </pic:spPr>
                </pic:pic>
              </a:graphicData>
            </a:graphic>
          </wp:inline>
        </w:drawing>
      </w:r>
    </w:p>
    <w:p w14:paraId="33A2F130" w14:textId="77777777" w:rsidR="00DC135E" w:rsidRPr="0084778E" w:rsidRDefault="00000000" w:rsidP="00DC135E">
      <w:pPr>
        <w:widowControl w:val="0"/>
        <w:spacing w:line="360" w:lineRule="auto"/>
        <w:jc w:val="center"/>
      </w:pPr>
      <w:r w:rsidRPr="0084778E">
        <w:t>Figure 1. Digital Information Fluency (DIF) Model</w:t>
      </w:r>
    </w:p>
    <w:p w14:paraId="0D0B91B0" w14:textId="77777777" w:rsidR="00DC135E" w:rsidRPr="0084778E" w:rsidRDefault="00000000" w:rsidP="00DC135E">
      <w:pPr>
        <w:widowControl w:val="0"/>
        <w:spacing w:line="360" w:lineRule="auto"/>
        <w:jc w:val="center"/>
      </w:pPr>
      <w:r w:rsidRPr="0084778E">
        <w:t xml:space="preserve">Source: </w:t>
      </w:r>
      <w:r w:rsidRPr="0084778E">
        <w:rPr>
          <w:rFonts w:cs="Times New Roman"/>
          <w:szCs w:val="20"/>
          <w:lang w:bidi="th-TH"/>
        </w:rPr>
        <w:t>Information Fluency. (2024)</w:t>
      </w:r>
    </w:p>
    <w:p w14:paraId="0FE0B8D9" w14:textId="77777777" w:rsidR="00DC135E" w:rsidRPr="0084778E" w:rsidRDefault="00DC135E" w:rsidP="00DC135E">
      <w:pPr>
        <w:pStyle w:val="NoSpacing"/>
        <w:spacing w:line="360" w:lineRule="auto"/>
        <w:jc w:val="center"/>
        <w:rPr>
          <w:rFonts w:ascii="Times New Roman" w:hAnsi="Times New Roman" w:cs="Times New Roman"/>
          <w:sz w:val="20"/>
          <w:szCs w:val="20"/>
          <w:lang w:val="en-US" w:bidi="th-TH"/>
        </w:rPr>
      </w:pPr>
    </w:p>
    <w:p w14:paraId="3B20213E" w14:textId="77777777" w:rsidR="00450143" w:rsidRPr="0084778E" w:rsidRDefault="00000000" w:rsidP="00450143">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Beyond digital fluency, information fluency emerges as a cornerstone competency for enterprise learning in future-oriented contexts (Barrow et al., 2020; Eisenberg 2008). Nenkov et al. (2014) underscore its pivotal role in equipping students with enterprising behaviors essential for adapting to evolving employment paradigms. As employers increasingly prize traits such as innovation, adaptability, and resilience, an enterprising mindset becomes imperative (Ehlers, 2022). The imperative to prepare students for the exigencies of life and employment underscores the urgency of imbuing them with future-ready skills (Ward, 2004).</w:t>
      </w:r>
    </w:p>
    <w:p w14:paraId="5AA81B24" w14:textId="77777777" w:rsidR="00450143" w:rsidRPr="0084778E" w:rsidRDefault="00450143" w:rsidP="00450143">
      <w:pPr>
        <w:pStyle w:val="NoSpacing"/>
        <w:spacing w:line="360" w:lineRule="auto"/>
        <w:jc w:val="thaiDistribute"/>
        <w:rPr>
          <w:rFonts w:ascii="Times New Roman" w:hAnsi="Times New Roman" w:cs="Times New Roman"/>
          <w:sz w:val="20"/>
          <w:szCs w:val="20"/>
          <w:lang w:val="en-US" w:bidi="th-TH"/>
        </w:rPr>
      </w:pPr>
    </w:p>
    <w:p w14:paraId="7E262930" w14:textId="77777777" w:rsidR="00450143" w:rsidRPr="0084778E" w:rsidRDefault="00000000" w:rsidP="00450143">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In light of these imperatives, the cultivation of digital information fluency skills emerges as an imperative for learners to navigate an ever-changing society and harness innovations and technologies with safety and creativity. As education becomes increasingly synonymous with empowerment, the acquisition of digital fluency and information literacy emerges as linchpins in shaping students' capacity to thrive in a dynamic, digitally driven world.</w:t>
      </w:r>
    </w:p>
    <w:p w14:paraId="190712F9" w14:textId="77777777" w:rsidR="00450143" w:rsidRPr="0084778E" w:rsidRDefault="00450143" w:rsidP="00450143">
      <w:pPr>
        <w:pStyle w:val="NoSpacing"/>
        <w:spacing w:line="360" w:lineRule="auto"/>
        <w:jc w:val="thaiDistribute"/>
        <w:rPr>
          <w:rFonts w:ascii="Times New Roman" w:hAnsi="Times New Roman" w:cs="Times New Roman"/>
          <w:sz w:val="20"/>
          <w:szCs w:val="20"/>
          <w:lang w:val="en-US" w:bidi="th-TH"/>
        </w:rPr>
      </w:pPr>
    </w:p>
    <w:p w14:paraId="3F6F89BD" w14:textId="77777777" w:rsidR="005827DB" w:rsidRPr="0084778E" w:rsidRDefault="005827DB" w:rsidP="00450143">
      <w:pPr>
        <w:spacing w:line="360" w:lineRule="auto"/>
        <w:rPr>
          <w:rFonts w:cs="Times New Roman"/>
          <w:b/>
          <w:bCs/>
          <w:sz w:val="24"/>
          <w:szCs w:val="24"/>
          <w:shd w:val="clear" w:color="auto" w:fill="FFFFFF"/>
          <w:lang w:val="en-MY"/>
        </w:rPr>
      </w:pPr>
    </w:p>
    <w:p w14:paraId="3503E2BD" w14:textId="77777777" w:rsidR="005827DB" w:rsidRPr="0084778E" w:rsidRDefault="005827DB" w:rsidP="00450143">
      <w:pPr>
        <w:spacing w:line="360" w:lineRule="auto"/>
        <w:rPr>
          <w:rFonts w:cs="Times New Roman"/>
          <w:b/>
          <w:bCs/>
          <w:sz w:val="24"/>
          <w:szCs w:val="24"/>
          <w:shd w:val="clear" w:color="auto" w:fill="FFFFFF"/>
          <w:lang w:val="en-MY"/>
        </w:rPr>
      </w:pPr>
    </w:p>
    <w:p w14:paraId="711E46A5" w14:textId="77777777" w:rsidR="00450143" w:rsidRPr="0084778E" w:rsidRDefault="00000000" w:rsidP="00450143">
      <w:pPr>
        <w:spacing w:line="360" w:lineRule="auto"/>
        <w:rPr>
          <w:rFonts w:cs="Times New Roman"/>
          <w:b/>
          <w:bCs/>
          <w:sz w:val="24"/>
          <w:szCs w:val="24"/>
          <w:shd w:val="clear" w:color="auto" w:fill="FFFFFF"/>
          <w:lang w:val="en-MY"/>
        </w:rPr>
      </w:pPr>
      <w:r w:rsidRPr="0084778E">
        <w:rPr>
          <w:rFonts w:cs="Times New Roman"/>
          <w:b/>
          <w:bCs/>
          <w:sz w:val="24"/>
          <w:szCs w:val="24"/>
          <w:shd w:val="clear" w:color="auto" w:fill="FFFFFF"/>
          <w:lang w:val="en-MY"/>
        </w:rPr>
        <w:t>Related Literature</w:t>
      </w:r>
    </w:p>
    <w:p w14:paraId="31892DEA" w14:textId="77777777" w:rsidR="00450143" w:rsidRPr="0084778E" w:rsidRDefault="00450143" w:rsidP="00450143">
      <w:pPr>
        <w:spacing w:line="360" w:lineRule="auto"/>
        <w:rPr>
          <w:rFonts w:cs="Times New Roman"/>
          <w:szCs w:val="20"/>
        </w:rPr>
      </w:pPr>
    </w:p>
    <w:p w14:paraId="76B33B27" w14:textId="77777777" w:rsidR="00450143" w:rsidRPr="0084778E" w:rsidRDefault="00000000" w:rsidP="00450143">
      <w:pPr>
        <w:spacing w:line="360" w:lineRule="auto"/>
        <w:rPr>
          <w:rFonts w:cs="Times New Roman"/>
          <w:szCs w:val="20"/>
        </w:rPr>
      </w:pPr>
      <w:r w:rsidRPr="0084778E">
        <w:rPr>
          <w:rFonts w:cs="Times New Roman"/>
          <w:szCs w:val="20"/>
        </w:rPr>
        <w:lastRenderedPageBreak/>
        <w:t>Chou and Chiu (2020) developed a multidimensional scale for assessing digital fluency in Taiwanese sixth-grade preadolescents, finding that digital fluency consisted of collaboration and research, digital citizenship, critical thinking, and innovation design. Female preadolescents scored higher than males. Wang et al. (2013) additionally explored differences between "digital natives" and "digital immigrants," suggesting a continuum of digital fluency rather than a strict dichotomy, emphasizing the ability to creatively express oneself in a digital environment. Miller and Bartlett (2012) investigated the challenge of internet information literacy in the UK, proposing the integration of digital fluency - consisting of critical thinking, net savviness, and diversity - into learning to navigate the digital age effectively. Li et al. (2018) examined the relationship between Chinese WeChat users’ digital fluency, gratifications, and social media use, finding a positive association between digital fluency and social media use. Digital fluency moderated the impact of various gratifications on social media use differently. Durmus Çemçem et al. (2023) explored 841 pre-service teachers' levels of digital citizenship, digital wisdom, and digital fluency, finding that male pre-service teachers had higher digital fluency scores. Digital citizenship significantly predicts digital fluency and digital wisdom.</w:t>
      </w:r>
    </w:p>
    <w:p w14:paraId="54F13C81" w14:textId="77777777" w:rsidR="00450143" w:rsidRPr="0084778E" w:rsidRDefault="00450143" w:rsidP="00450143">
      <w:pPr>
        <w:spacing w:line="360" w:lineRule="auto"/>
        <w:rPr>
          <w:rFonts w:cs="Times New Roman"/>
          <w:szCs w:val="20"/>
        </w:rPr>
      </w:pPr>
    </w:p>
    <w:p w14:paraId="45AB0C16" w14:textId="77777777" w:rsidR="00450143" w:rsidRPr="0084778E" w:rsidRDefault="00000000" w:rsidP="00450143">
      <w:pPr>
        <w:spacing w:line="360" w:lineRule="auto"/>
        <w:rPr>
          <w:rFonts w:cs="Times New Roman"/>
          <w:szCs w:val="20"/>
        </w:rPr>
      </w:pPr>
      <w:r w:rsidRPr="0084778E">
        <w:rPr>
          <w:rFonts w:cs="Times New Roman"/>
          <w:szCs w:val="20"/>
        </w:rPr>
        <w:t xml:space="preserve">Furthermore, the discourse on digital fluency in K-12 education encompasses a range of perspectives and suggestions for curriculum development. White (2013) proposed a comprehensive curriculum covering topics such as critical thinking, collaboration, online safety, and legal issues like copyright and privacy. This holistic approach reflects the diverse skill set necessary for effective engagement with digital technologies. Wang et al. (2012) emphasized the importance of the concept of digital fluency, suggesting it offers a more nuanced understanding of learners' interactions with technology compared to simplistic categorizations like </w:t>
      </w:r>
      <w:r w:rsidRPr="0084778E">
        <w:rPr>
          <w:rFonts w:cs="Times New Roman"/>
          <w:i/>
          <w:iCs/>
          <w:szCs w:val="20"/>
        </w:rPr>
        <w:t>Net Generation</w:t>
      </w:r>
      <w:r w:rsidRPr="0084778E">
        <w:rPr>
          <w:rFonts w:cs="Times New Roman"/>
          <w:szCs w:val="20"/>
        </w:rPr>
        <w:t xml:space="preserve"> or </w:t>
      </w:r>
      <w:r w:rsidRPr="0084778E">
        <w:rPr>
          <w:rFonts w:cs="Times New Roman"/>
          <w:i/>
          <w:iCs/>
          <w:szCs w:val="20"/>
        </w:rPr>
        <w:t>New Millennium Learners</w:t>
      </w:r>
      <w:r w:rsidRPr="0084778E">
        <w:rPr>
          <w:rFonts w:cs="Times New Roman"/>
          <w:szCs w:val="20"/>
        </w:rPr>
        <w:t>. They highlighted the complex and dynamic nature of learning contexts, advocating for research that recognizes these complexities through fieldwork and interventions.</w:t>
      </w:r>
    </w:p>
    <w:p w14:paraId="4DFB7F0F" w14:textId="77777777" w:rsidR="00450143" w:rsidRPr="0084778E" w:rsidRDefault="00450143" w:rsidP="00450143">
      <w:pPr>
        <w:spacing w:line="360" w:lineRule="auto"/>
        <w:rPr>
          <w:rFonts w:cs="Times New Roman"/>
          <w:szCs w:val="20"/>
        </w:rPr>
      </w:pPr>
    </w:p>
    <w:p w14:paraId="44463ED6" w14:textId="2B3E4DD2" w:rsidR="00450143" w:rsidRPr="0084778E" w:rsidRDefault="00000000" w:rsidP="00450143">
      <w:pPr>
        <w:spacing w:line="360" w:lineRule="auto"/>
        <w:rPr>
          <w:rFonts w:cs="Times New Roman"/>
          <w:szCs w:val="20"/>
        </w:rPr>
      </w:pPr>
      <w:r w:rsidRPr="0084778E">
        <w:rPr>
          <w:rFonts w:cs="Times New Roman"/>
          <w:szCs w:val="20"/>
        </w:rPr>
        <w:t xml:space="preserve">His (2007) introduced a framework for examining digital fluency, focusing on competencies, design sensibilities, and strategic expertise gained through using digital tools. This framework underscores the active engagement and skill development involved in utilizing digital technologies for learning and communication. The concept of information fluency, as highlighted by various scholars and educational </w:t>
      </w:r>
      <w:r w:rsidRPr="00DB308E">
        <w:rPr>
          <w:rFonts w:cs="Times New Roman"/>
          <w:szCs w:val="20"/>
        </w:rPr>
        <w:t>institutions, underscores the essential fusion of critical thinking, information literacy, and computer skills. According to the Associated Colleges of the South, information fluency represents the optimal outcome when these skills are combined, emphasizing the importance of critical thinking in navigating information landscapes</w:t>
      </w:r>
      <w:r w:rsidR="00DB308E" w:rsidRPr="00DB308E">
        <w:rPr>
          <w:rFonts w:cs="Times New Roman"/>
          <w:color w:val="222222"/>
          <w:szCs w:val="20"/>
          <w:shd w:val="clear" w:color="auto" w:fill="FFFFFF"/>
        </w:rPr>
        <w:t xml:space="preserve"> (Beile, 2007)</w:t>
      </w:r>
      <w:r w:rsidRPr="00DB308E">
        <w:rPr>
          <w:rFonts w:cs="Times New Roman"/>
          <w:szCs w:val="20"/>
        </w:rPr>
        <w:t>. Similarly, Rettig and Hagen (2003) conceptualize information fluency as the intersection of information literacy, computer</w:t>
      </w:r>
      <w:r w:rsidRPr="0084778E">
        <w:rPr>
          <w:rFonts w:cs="Times New Roman"/>
          <w:szCs w:val="20"/>
        </w:rPr>
        <w:t xml:space="preserve"> literacy, and critical thinking, illustrating the multidimensional nature of fluency in accessing and utilizing information.</w:t>
      </w:r>
    </w:p>
    <w:p w14:paraId="55E57028" w14:textId="77777777" w:rsidR="00450143" w:rsidRPr="0084778E" w:rsidRDefault="00450143" w:rsidP="00450143">
      <w:pPr>
        <w:spacing w:line="360" w:lineRule="auto"/>
        <w:rPr>
          <w:rFonts w:cs="Times New Roman"/>
          <w:szCs w:val="20"/>
        </w:rPr>
      </w:pPr>
    </w:p>
    <w:p w14:paraId="5E0C9542" w14:textId="77777777" w:rsidR="00450143" w:rsidRPr="0084778E" w:rsidRDefault="00000000" w:rsidP="00450143">
      <w:pPr>
        <w:spacing w:line="360" w:lineRule="auto"/>
        <w:rPr>
          <w:rFonts w:cs="Times New Roman"/>
          <w:szCs w:val="20"/>
        </w:rPr>
      </w:pPr>
      <w:r w:rsidRPr="0084778E">
        <w:rPr>
          <w:rFonts w:cs="Times New Roman"/>
          <w:szCs w:val="20"/>
        </w:rPr>
        <w:t>Bundy (2004) further elaborates on the relationship between information literacy and lifelong learning, positing information literacy as the foundation for independent and lifelong learning endeavors. Heine et al. (2006) contribute to this discourse by defining Digital Information Fluency (DIF) as the ability to effectively, efficiently, and ethically find, evaluate, and use digital information. This involves understanding the nuances between digital and print information and developing the necessary skills and dispositions for digital environments.</w:t>
      </w:r>
    </w:p>
    <w:p w14:paraId="23C6DFF1" w14:textId="77777777" w:rsidR="00450143" w:rsidRPr="0084778E" w:rsidRDefault="00450143" w:rsidP="00450143">
      <w:pPr>
        <w:spacing w:line="360" w:lineRule="auto"/>
        <w:rPr>
          <w:rFonts w:cs="Times New Roman"/>
          <w:szCs w:val="20"/>
        </w:rPr>
      </w:pPr>
    </w:p>
    <w:p w14:paraId="1F89E7A9" w14:textId="77777777" w:rsidR="00450143" w:rsidRPr="0084778E" w:rsidRDefault="00000000" w:rsidP="00450143">
      <w:pPr>
        <w:spacing w:line="360" w:lineRule="auto"/>
        <w:rPr>
          <w:rFonts w:cs="Times New Roman"/>
          <w:szCs w:val="20"/>
        </w:rPr>
      </w:pPr>
      <w:r w:rsidRPr="0084778E">
        <w:rPr>
          <w:rFonts w:cs="Times New Roman"/>
          <w:szCs w:val="20"/>
        </w:rPr>
        <w:lastRenderedPageBreak/>
        <w:t>Lorenzo and Dziuban (2006) extend the discussion by highlighting the characteristics of individuals fluent in information technology (FIT persons), emphasizing their ability to creatively express themselves, reformulate knowledge, and adapt to change through lifelong learning. Zhang (2010) reinforces this perspective by defining information fluency as</w:t>
      </w:r>
      <w:r w:rsidR="00734EF8" w:rsidRPr="0084778E">
        <w:rPr>
          <w:rFonts w:cs="Times New Roman"/>
          <w:szCs w:val="20"/>
        </w:rPr>
        <w:t xml:space="preserve"> having </w:t>
      </w:r>
      <w:r w:rsidRPr="0084778E">
        <w:rPr>
          <w:rFonts w:cs="Times New Roman"/>
          <w:szCs w:val="20"/>
        </w:rPr>
        <w:t xml:space="preserve">the ability </w:t>
      </w:r>
      <w:r w:rsidR="00734EF8" w:rsidRPr="0084778E">
        <w:rPr>
          <w:rFonts w:cs="Times New Roman"/>
          <w:szCs w:val="20"/>
        </w:rPr>
        <w:t>for critical thinking w</w:t>
      </w:r>
      <w:r w:rsidRPr="0084778E">
        <w:rPr>
          <w:rFonts w:cs="Times New Roman"/>
          <w:szCs w:val="20"/>
        </w:rPr>
        <w:t xml:space="preserve">hile </w:t>
      </w:r>
      <w:r w:rsidR="00734EF8" w:rsidRPr="0084778E">
        <w:rPr>
          <w:rFonts w:cs="Times New Roman"/>
          <w:szCs w:val="20"/>
        </w:rPr>
        <w:t xml:space="preserve">participating in </w:t>
      </w:r>
      <w:r w:rsidRPr="0084778E">
        <w:rPr>
          <w:rFonts w:cs="Times New Roman"/>
          <w:szCs w:val="20"/>
        </w:rPr>
        <w:t>utilizing information and technology, regardless of the platform or medium.</w:t>
      </w:r>
      <w:r w:rsidR="00E97408" w:rsidRPr="0084778E">
        <w:rPr>
          <w:rFonts w:cs="Times New Roman"/>
          <w:szCs w:val="20"/>
        </w:rPr>
        <w:t xml:space="preserve"> </w:t>
      </w:r>
      <w:r w:rsidRPr="0084778E">
        <w:rPr>
          <w:rFonts w:cs="Times New Roman"/>
          <w:szCs w:val="20"/>
        </w:rPr>
        <w:t xml:space="preserve">Moreover, the </w:t>
      </w:r>
      <w:r w:rsidR="001B095D" w:rsidRPr="0084778E">
        <w:rPr>
          <w:rFonts w:cs="Times New Roman"/>
          <w:spacing w:val="20"/>
          <w:szCs w:val="20"/>
          <w:shd w:val="clear" w:color="auto" w:fill="FFFFFF"/>
        </w:rPr>
        <w:t>21st Century Information Fluency Project (21CIF)</w:t>
      </w:r>
      <w:r w:rsidRPr="0084778E">
        <w:rPr>
          <w:rFonts w:cs="Times New Roman"/>
          <w:szCs w:val="20"/>
        </w:rPr>
        <w:t xml:space="preserve"> (20</w:t>
      </w:r>
      <w:r w:rsidR="001B095D" w:rsidRPr="0084778E">
        <w:rPr>
          <w:rFonts w:cs="Times New Roman"/>
          <w:szCs w:val="20"/>
        </w:rPr>
        <w:t>2</w:t>
      </w:r>
      <w:r w:rsidRPr="0084778E">
        <w:rPr>
          <w:rFonts w:cs="Times New Roman"/>
          <w:szCs w:val="20"/>
        </w:rPr>
        <w:t>4) echoes this sentiment, defining Digital Information Fluency (DIF) as the ability to effectively use digital information while understanding its differences from print information.</w:t>
      </w:r>
    </w:p>
    <w:p w14:paraId="08890056" w14:textId="77777777" w:rsidR="00450143" w:rsidRPr="0084778E" w:rsidRDefault="00450143" w:rsidP="00450143">
      <w:pPr>
        <w:spacing w:line="360" w:lineRule="auto"/>
        <w:rPr>
          <w:rFonts w:cs="Times New Roman"/>
          <w:szCs w:val="20"/>
        </w:rPr>
      </w:pPr>
    </w:p>
    <w:p w14:paraId="0ADE90BA" w14:textId="77777777" w:rsidR="00E97408" w:rsidRPr="0084778E" w:rsidRDefault="00000000" w:rsidP="00E97408">
      <w:pPr>
        <w:spacing w:line="360" w:lineRule="auto"/>
        <w:rPr>
          <w:rFonts w:cs="Times New Roman"/>
          <w:shd w:val="clear" w:color="auto" w:fill="FFFFFF"/>
        </w:rPr>
      </w:pPr>
      <w:r w:rsidRPr="0084778E">
        <w:rPr>
          <w:rFonts w:cs="Times New Roman"/>
          <w:szCs w:val="20"/>
        </w:rPr>
        <w:t>Lombard (2016) contributes to the discourse by emphasizing the importance of collaboration and commitment in information fluency, distinct from information literacy. Additionally, Al Ameen (2019) offers a concise definition of Digital Information Fluency (DIF) as the efficient and effective ethical use of digital information. Finally, the NSW Department of Education (2021) reiterates the significance of information fluency in critically engaging with and utilizing information and technology across various platforms. Collectively, these perspectives underscore the multifaceted nature of digital fluency and emphasize the integration of critical thinking, collaboration, and ethical considerations in contemporary educational settings</w:t>
      </w:r>
      <w:r w:rsidR="00D45525" w:rsidRPr="0084778E">
        <w:rPr>
          <w:rFonts w:cs="Times New Roman"/>
          <w:szCs w:val="20"/>
        </w:rPr>
        <w:t xml:space="preserve"> (</w:t>
      </w:r>
      <w:r w:rsidR="00D45525" w:rsidRPr="0084778E">
        <w:t xml:space="preserve">NSW Department of Education, 2023). </w:t>
      </w:r>
      <w:r w:rsidRPr="0084778E">
        <w:rPr>
          <w:rFonts w:cs="Times New Roman"/>
          <w:szCs w:val="20"/>
        </w:rPr>
        <w:t xml:space="preserve">Finally, Table 1 shows the </w:t>
      </w:r>
      <w:r w:rsidRPr="0084778E">
        <w:rPr>
          <w:rFonts w:cs="Times New Roman"/>
          <w:shd w:val="clear" w:color="auto" w:fill="FFFFFF"/>
        </w:rPr>
        <w:t xml:space="preserve">results of the synthesis of digital information management (DIM), digital literacy (DL), and digital data communication (DDC) skills needed for high school students according to the literature. </w:t>
      </w:r>
    </w:p>
    <w:p w14:paraId="2DF77486" w14:textId="77777777" w:rsidR="007C22BF" w:rsidRDefault="007C22BF" w:rsidP="007C22BF">
      <w:pPr>
        <w:pStyle w:val="NoSpacing"/>
        <w:spacing w:line="360" w:lineRule="auto"/>
        <w:jc w:val="both"/>
        <w:rPr>
          <w:rFonts w:ascii="Times New Roman" w:hAnsi="Times New Roman" w:cs="Times New Roman"/>
          <w:b/>
          <w:bCs/>
          <w:sz w:val="20"/>
          <w:szCs w:val="20"/>
        </w:rPr>
      </w:pPr>
    </w:p>
    <w:p w14:paraId="175875DC" w14:textId="5FCBF15D" w:rsidR="007C22BF" w:rsidRPr="0084778E" w:rsidRDefault="007C22BF" w:rsidP="007C22BF">
      <w:pPr>
        <w:pStyle w:val="NoSpacing"/>
        <w:spacing w:line="360" w:lineRule="auto"/>
        <w:jc w:val="both"/>
        <w:rPr>
          <w:rFonts w:ascii="Times New Roman" w:hAnsi="Times New Roman" w:cs="Times New Roman"/>
          <w:b/>
          <w:bCs/>
          <w:sz w:val="20"/>
          <w:szCs w:val="20"/>
        </w:rPr>
      </w:pPr>
      <w:r w:rsidRPr="0084778E">
        <w:rPr>
          <w:rFonts w:ascii="Times New Roman" w:hAnsi="Times New Roman" w:cs="Times New Roman"/>
          <w:b/>
          <w:bCs/>
          <w:sz w:val="20"/>
          <w:szCs w:val="20"/>
        </w:rPr>
        <w:t>Research Objectives (RO)/Questions</w:t>
      </w:r>
    </w:p>
    <w:p w14:paraId="37AE40C7" w14:textId="77777777" w:rsidR="007C22BF" w:rsidRPr="0084778E" w:rsidRDefault="007C22BF" w:rsidP="007C22BF">
      <w:pPr>
        <w:pStyle w:val="NoSpacing"/>
        <w:spacing w:line="360" w:lineRule="auto"/>
        <w:jc w:val="both"/>
        <w:rPr>
          <w:rFonts w:ascii="Times New Roman" w:hAnsi="Times New Roman" w:cs="Times New Roman"/>
          <w:sz w:val="20"/>
          <w:szCs w:val="20"/>
        </w:rPr>
      </w:pPr>
    </w:p>
    <w:p w14:paraId="32F7F38D"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RO1: To synthesize DIF from relevant documents such as books, textbooks, and related research.</w:t>
      </w:r>
    </w:p>
    <w:p w14:paraId="6D473938"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 xml:space="preserve">   - What are the key components and indicators of DIF skills derived from these sources?</w:t>
      </w:r>
    </w:p>
    <w:p w14:paraId="606B00BE"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 xml:space="preserve">   - How do these synthesized skills align with current understandings of DIF?</w:t>
      </w:r>
    </w:p>
    <w:p w14:paraId="04086C58" w14:textId="77777777" w:rsidR="007C22BF" w:rsidRPr="0084778E" w:rsidRDefault="007C22BF" w:rsidP="007C22BF">
      <w:pPr>
        <w:pStyle w:val="NoSpacing"/>
        <w:spacing w:line="360" w:lineRule="auto"/>
        <w:jc w:val="both"/>
        <w:rPr>
          <w:rFonts w:ascii="Times New Roman" w:hAnsi="Times New Roman" w:cs="Times New Roman"/>
          <w:sz w:val="20"/>
          <w:szCs w:val="20"/>
        </w:rPr>
      </w:pPr>
    </w:p>
    <w:p w14:paraId="52310DFC"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RO2: To investigate the level of DIF skills among students.</w:t>
      </w:r>
    </w:p>
    <w:p w14:paraId="3EF26838"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 xml:space="preserve">   - What is the current level of DIF skills among students?</w:t>
      </w:r>
    </w:p>
    <w:p w14:paraId="749506DB"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 xml:space="preserve">   - Are there variations in DIF skills among different student demographics (e.g., age, gender, socioeconomic status)?</w:t>
      </w:r>
    </w:p>
    <w:p w14:paraId="1434E996"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 xml:space="preserve">   - How do students perceive their own DIF skills?</w:t>
      </w:r>
    </w:p>
    <w:p w14:paraId="4CF1D3DE" w14:textId="77777777" w:rsidR="007C22BF" w:rsidRPr="0084778E" w:rsidRDefault="007C22BF" w:rsidP="007C22BF">
      <w:pPr>
        <w:pStyle w:val="NoSpacing"/>
        <w:spacing w:line="360" w:lineRule="auto"/>
        <w:jc w:val="both"/>
        <w:rPr>
          <w:rFonts w:ascii="Times New Roman" w:hAnsi="Times New Roman" w:cs="Times New Roman"/>
          <w:sz w:val="20"/>
          <w:szCs w:val="20"/>
        </w:rPr>
      </w:pPr>
    </w:p>
    <w:p w14:paraId="7459C436"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RO3: To analyze DIF skills among students.</w:t>
      </w:r>
    </w:p>
    <w:p w14:paraId="32C94048"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 xml:space="preserve">   - What are the strengths and weaknesses of students' DIF?</w:t>
      </w:r>
    </w:p>
    <w:p w14:paraId="6DB3DCF3" w14:textId="77777777" w:rsidR="007C22BF" w:rsidRPr="0084778E" w:rsidRDefault="007C22BF" w:rsidP="007C22BF">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rPr>
        <w:t xml:space="preserve">   - How do these skills compare to established frameworks or standards of digital fluency?</w:t>
      </w:r>
    </w:p>
    <w:p w14:paraId="1762ECDD" w14:textId="28304B78" w:rsidR="00450143" w:rsidRPr="0084778E" w:rsidRDefault="007C22BF" w:rsidP="007C22BF">
      <w:pPr>
        <w:spacing w:line="360" w:lineRule="auto"/>
        <w:rPr>
          <w:rFonts w:cs="Times New Roman"/>
          <w:szCs w:val="20"/>
        </w:rPr>
      </w:pPr>
      <w:r w:rsidRPr="0084778E">
        <w:rPr>
          <w:rFonts w:cs="Times New Roman"/>
          <w:szCs w:val="20"/>
        </w:rPr>
        <w:t xml:space="preserve">   - What factors contribute to variations in DIF skills among students?</w:t>
      </w:r>
    </w:p>
    <w:p w14:paraId="0D5C5DC6" w14:textId="77777777" w:rsidR="007C22BF" w:rsidRDefault="007C22BF">
      <w:pPr>
        <w:suppressAutoHyphens w:val="0"/>
        <w:spacing w:after="160" w:line="259" w:lineRule="auto"/>
        <w:jc w:val="left"/>
        <w:rPr>
          <w:rFonts w:eastAsiaTheme="minorHAnsi" w:cs="Times New Roman"/>
          <w:szCs w:val="20"/>
          <w:shd w:val="clear" w:color="auto" w:fill="FFFFFF"/>
          <w:lang w:val="en-MY" w:eastAsia="en-US"/>
        </w:rPr>
      </w:pPr>
      <w:r>
        <w:rPr>
          <w:rFonts w:cs="Times New Roman"/>
          <w:szCs w:val="20"/>
          <w:shd w:val="clear" w:color="auto" w:fill="FFFFFF"/>
        </w:rPr>
        <w:br w:type="page"/>
      </w:r>
    </w:p>
    <w:p w14:paraId="4925A417" w14:textId="2379A930" w:rsidR="00E97408" w:rsidRPr="0084778E" w:rsidRDefault="00000000" w:rsidP="00E97408">
      <w:pPr>
        <w:pStyle w:val="NoSpacing"/>
        <w:jc w:val="center"/>
        <w:rPr>
          <w:rFonts w:ascii="Times New Roman" w:hAnsi="Times New Roman" w:cs="Times New Roman"/>
          <w:sz w:val="20"/>
          <w:szCs w:val="20"/>
          <w:shd w:val="clear" w:color="auto" w:fill="FFFFFF"/>
        </w:rPr>
      </w:pPr>
      <w:r w:rsidRPr="0084778E">
        <w:rPr>
          <w:rFonts w:ascii="Times New Roman" w:hAnsi="Times New Roman" w:cs="Times New Roman"/>
          <w:sz w:val="20"/>
          <w:szCs w:val="20"/>
          <w:shd w:val="clear" w:color="auto" w:fill="FFFFFF"/>
        </w:rPr>
        <w:lastRenderedPageBreak/>
        <w:t xml:space="preserve">Table 1. Results of the </w:t>
      </w:r>
      <w:r w:rsidR="006279C4" w:rsidRPr="0084778E">
        <w:rPr>
          <w:rFonts w:ascii="Times New Roman" w:hAnsi="Times New Roman" w:cs="Times New Roman"/>
          <w:sz w:val="20"/>
          <w:szCs w:val="20"/>
          <w:shd w:val="clear" w:color="auto" w:fill="FFFFFF"/>
        </w:rPr>
        <w:t>S</w:t>
      </w:r>
      <w:r w:rsidRPr="0084778E">
        <w:rPr>
          <w:rFonts w:ascii="Times New Roman" w:hAnsi="Times New Roman" w:cs="Times New Roman"/>
          <w:sz w:val="20"/>
          <w:szCs w:val="20"/>
          <w:shd w:val="clear" w:color="auto" w:fill="FFFFFF"/>
        </w:rPr>
        <w:t xml:space="preserve">ynthesis of </w:t>
      </w:r>
      <w:r w:rsidR="006279C4" w:rsidRPr="0084778E">
        <w:rPr>
          <w:rFonts w:ascii="Times New Roman" w:hAnsi="Times New Roman" w:cs="Times New Roman"/>
          <w:sz w:val="20"/>
          <w:szCs w:val="20"/>
          <w:shd w:val="clear" w:color="auto" w:fill="FFFFFF"/>
        </w:rPr>
        <w:t>DIF</w:t>
      </w:r>
      <w:r w:rsidRPr="0084778E">
        <w:rPr>
          <w:rFonts w:ascii="Times New Roman" w:hAnsi="Times New Roman" w:cs="Times New Roman"/>
          <w:sz w:val="20"/>
          <w:szCs w:val="20"/>
          <w:shd w:val="clear" w:color="auto" w:fill="FFFFFF"/>
        </w:rPr>
        <w:t xml:space="preserve"> </w:t>
      </w:r>
      <w:r w:rsidR="006279C4" w:rsidRPr="0084778E">
        <w:rPr>
          <w:rFonts w:ascii="Times New Roman" w:hAnsi="Times New Roman" w:cs="Times New Roman"/>
          <w:sz w:val="20"/>
          <w:szCs w:val="20"/>
          <w:shd w:val="clear" w:color="auto" w:fill="FFFFFF"/>
        </w:rPr>
        <w:t>S</w:t>
      </w:r>
      <w:r w:rsidRPr="0084778E">
        <w:rPr>
          <w:rFonts w:ascii="Times New Roman" w:hAnsi="Times New Roman" w:cs="Times New Roman"/>
          <w:sz w:val="20"/>
          <w:szCs w:val="20"/>
          <w:shd w:val="clear" w:color="auto" w:fill="FFFFFF"/>
        </w:rPr>
        <w:t xml:space="preserve">kill </w:t>
      </w:r>
      <w:r w:rsidR="006279C4" w:rsidRPr="0084778E">
        <w:rPr>
          <w:rFonts w:ascii="Times New Roman" w:hAnsi="Times New Roman" w:cs="Times New Roman"/>
          <w:sz w:val="20"/>
          <w:szCs w:val="20"/>
          <w:shd w:val="clear" w:color="auto" w:fill="FFFFFF"/>
        </w:rPr>
        <w:t>C</w:t>
      </w:r>
      <w:r w:rsidRPr="0084778E">
        <w:rPr>
          <w:rFonts w:ascii="Times New Roman" w:hAnsi="Times New Roman" w:cs="Times New Roman"/>
          <w:sz w:val="20"/>
          <w:szCs w:val="20"/>
          <w:shd w:val="clear" w:color="auto" w:fill="FFFFFF"/>
        </w:rPr>
        <w:t>omponents</w:t>
      </w:r>
    </w:p>
    <w:p w14:paraId="4414DCF9" w14:textId="77777777" w:rsidR="00E97408" w:rsidRPr="0084778E" w:rsidRDefault="00E97408" w:rsidP="00E97408">
      <w:pPr>
        <w:pStyle w:val="NoSpacing"/>
        <w:jc w:val="center"/>
        <w:rPr>
          <w:rFonts w:ascii="Times New Roman" w:hAnsi="Times New Roman" w:cs="Times New Roman"/>
          <w:i/>
          <w:iCs/>
          <w:sz w:val="20"/>
          <w:szCs w:val="20"/>
          <w:shd w:val="clear" w:color="auto" w:fill="FFFFFF"/>
        </w:rPr>
      </w:pPr>
    </w:p>
    <w:tbl>
      <w:tblPr>
        <w:tblStyle w:val="TableGrid"/>
        <w:tblW w:w="4243" w:type="pct"/>
        <w:jc w:val="center"/>
        <w:tblLayout w:type="fixed"/>
        <w:tblLook w:val="04A0" w:firstRow="1" w:lastRow="0" w:firstColumn="1" w:lastColumn="0" w:noHBand="0" w:noVBand="1"/>
      </w:tblPr>
      <w:tblGrid>
        <w:gridCol w:w="3131"/>
        <w:gridCol w:w="408"/>
        <w:gridCol w:w="426"/>
        <w:gridCol w:w="426"/>
        <w:gridCol w:w="426"/>
        <w:gridCol w:w="426"/>
        <w:gridCol w:w="425"/>
        <w:gridCol w:w="425"/>
        <w:gridCol w:w="425"/>
        <w:gridCol w:w="424"/>
        <w:gridCol w:w="708"/>
      </w:tblGrid>
      <w:tr w:rsidR="007C0815" w14:paraId="0D0608A3" w14:textId="77777777" w:rsidTr="007C0815">
        <w:trPr>
          <w:cantSplit/>
          <w:trHeight w:val="2773"/>
          <w:tblHeader/>
          <w:jc w:val="center"/>
        </w:trPr>
        <w:tc>
          <w:tcPr>
            <w:tcW w:w="2044" w:type="pct"/>
            <w:tcBorders>
              <w:left w:val="single" w:sz="4" w:space="0" w:color="FFFFFF" w:themeColor="background1"/>
            </w:tcBorders>
            <w:shd w:val="clear" w:color="auto" w:fill="FBE4D5" w:themeFill="accent2" w:themeFillTint="33"/>
            <w:vAlign w:val="center"/>
          </w:tcPr>
          <w:p w14:paraId="6F6E1565" w14:textId="2B341827" w:rsidR="007E098D" w:rsidRPr="0084778E" w:rsidRDefault="00000000" w:rsidP="00744DFA">
            <w:pPr>
              <w:pStyle w:val="NoSpacing"/>
              <w:rPr>
                <w:rFonts w:ascii="Times New Roman" w:hAnsi="Times New Roman" w:cs="Times New Roman"/>
                <w:b/>
                <w:bCs/>
              </w:rPr>
            </w:pPr>
            <w:r w:rsidRPr="0084778E">
              <w:rPr>
                <w:rFonts w:ascii="Times New Roman" w:hAnsi="Times New Roman" w:cs="Times New Roman"/>
                <w:b/>
                <w:bCs/>
              </w:rPr>
              <w:t>Digital Information Fluency</w:t>
            </w:r>
            <w:r w:rsidR="007C0815">
              <w:rPr>
                <w:rFonts w:ascii="Times New Roman" w:hAnsi="Times New Roman" w:cs="Times New Roman"/>
                <w:b/>
                <w:bCs/>
              </w:rPr>
              <w:t xml:space="preserve"> (DIF)</w:t>
            </w:r>
            <w:r w:rsidRPr="0084778E">
              <w:rPr>
                <w:rFonts w:ascii="Times New Roman" w:hAnsi="Times New Roman" w:cs="Times New Roman"/>
                <w:b/>
                <w:bCs/>
              </w:rPr>
              <w:t xml:space="preserve"> skill components</w:t>
            </w:r>
          </w:p>
          <w:p w14:paraId="6D37B4D5" w14:textId="77777777" w:rsidR="007E098D" w:rsidRPr="0084778E" w:rsidRDefault="007E098D" w:rsidP="00744DFA">
            <w:pPr>
              <w:pStyle w:val="NoSpacing"/>
              <w:jc w:val="center"/>
              <w:rPr>
                <w:rFonts w:ascii="Times New Roman" w:hAnsi="Times New Roman" w:cs="Times New Roman"/>
                <w:b/>
                <w:bCs/>
                <w:sz w:val="20"/>
                <w:szCs w:val="20"/>
                <w:shd w:val="clear" w:color="auto" w:fill="FFFFFF"/>
                <w:cs/>
                <w:lang w:bidi="th-TH"/>
              </w:rPr>
            </w:pPr>
          </w:p>
        </w:tc>
        <w:tc>
          <w:tcPr>
            <w:tcW w:w="266" w:type="pct"/>
            <w:shd w:val="clear" w:color="auto" w:fill="FBE4D5" w:themeFill="accent2" w:themeFillTint="33"/>
            <w:textDirection w:val="btLr"/>
            <w:vAlign w:val="center"/>
          </w:tcPr>
          <w:p w14:paraId="0D213403" w14:textId="77777777" w:rsidR="007E098D"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eastAsia="Sarabun" w:hAnsi="Times New Roman" w:cs="Times New Roman"/>
                <w:b/>
                <w:bCs/>
                <w:sz w:val="20"/>
                <w:szCs w:val="20"/>
              </w:rPr>
              <w:t>Lin (2000)</w:t>
            </w:r>
          </w:p>
        </w:tc>
        <w:tc>
          <w:tcPr>
            <w:tcW w:w="278" w:type="pct"/>
            <w:shd w:val="clear" w:color="auto" w:fill="FBE4D5" w:themeFill="accent2" w:themeFillTint="33"/>
            <w:textDirection w:val="btLr"/>
            <w:vAlign w:val="center"/>
          </w:tcPr>
          <w:p w14:paraId="4DD50878" w14:textId="77777777" w:rsidR="007E098D"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eastAsia="Sarabun" w:hAnsi="Times New Roman" w:cs="Times New Roman"/>
                <w:b/>
                <w:bCs/>
                <w:sz w:val="20"/>
                <w:szCs w:val="20"/>
              </w:rPr>
              <w:t>Zhang (2010)</w:t>
            </w:r>
          </w:p>
        </w:tc>
        <w:tc>
          <w:tcPr>
            <w:tcW w:w="278" w:type="pct"/>
            <w:shd w:val="clear" w:color="auto" w:fill="FBE4D5" w:themeFill="accent2" w:themeFillTint="33"/>
            <w:textDirection w:val="btLr"/>
            <w:vAlign w:val="center"/>
          </w:tcPr>
          <w:p w14:paraId="00B2B1F9" w14:textId="77777777" w:rsidR="007E098D"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eastAsia="Sarabun" w:hAnsi="Times New Roman" w:cs="Times New Roman"/>
                <w:b/>
                <w:bCs/>
                <w:sz w:val="20"/>
                <w:szCs w:val="20"/>
              </w:rPr>
              <w:t xml:space="preserve">Rettig </w:t>
            </w:r>
            <w:r w:rsidRPr="0084778E">
              <w:rPr>
                <w:rFonts w:ascii="Times New Roman" w:eastAsia="Sarabun" w:hAnsi="Times New Roman" w:cs="Times New Roman"/>
                <w:b/>
                <w:bCs/>
                <w:sz w:val="20"/>
                <w:szCs w:val="20"/>
                <w:lang w:val="en-US"/>
              </w:rPr>
              <w:t>&amp;</w:t>
            </w:r>
            <w:r w:rsidRPr="0084778E">
              <w:rPr>
                <w:rFonts w:ascii="Times New Roman" w:eastAsia="Sarabun" w:hAnsi="Times New Roman" w:cs="Times New Roman"/>
                <w:b/>
                <w:bCs/>
                <w:sz w:val="20"/>
                <w:szCs w:val="20"/>
              </w:rPr>
              <w:t xml:space="preserve"> Hagen (2003)</w:t>
            </w:r>
          </w:p>
        </w:tc>
        <w:tc>
          <w:tcPr>
            <w:tcW w:w="278" w:type="pct"/>
            <w:shd w:val="clear" w:color="auto" w:fill="FBE4D5" w:themeFill="accent2" w:themeFillTint="33"/>
            <w:textDirection w:val="btLr"/>
            <w:vAlign w:val="center"/>
          </w:tcPr>
          <w:p w14:paraId="626250C8" w14:textId="77777777" w:rsidR="007E098D"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eastAsia="Sarabun" w:hAnsi="Times New Roman" w:cs="Times New Roman"/>
                <w:b/>
                <w:bCs/>
                <w:sz w:val="20"/>
                <w:szCs w:val="20"/>
              </w:rPr>
              <w:t>Bundy (2004)</w:t>
            </w:r>
          </w:p>
        </w:tc>
        <w:tc>
          <w:tcPr>
            <w:tcW w:w="278" w:type="pct"/>
            <w:shd w:val="clear" w:color="auto" w:fill="FBE4D5" w:themeFill="accent2" w:themeFillTint="33"/>
            <w:textDirection w:val="btLr"/>
            <w:vAlign w:val="center"/>
          </w:tcPr>
          <w:p w14:paraId="70C1F2C1" w14:textId="77777777" w:rsidR="007E098D" w:rsidRPr="0084778E" w:rsidRDefault="00000000" w:rsidP="00744DFA">
            <w:pPr>
              <w:pStyle w:val="NoSpacing"/>
              <w:jc w:val="center"/>
              <w:rPr>
                <w:rFonts w:ascii="Times New Roman" w:eastAsia="Sarabun" w:hAnsi="Times New Roman" w:cs="Times New Roman"/>
                <w:b/>
                <w:bCs/>
                <w:sz w:val="20"/>
                <w:szCs w:val="20"/>
                <w:lang w:bidi="th-TH"/>
              </w:rPr>
            </w:pPr>
            <w:r w:rsidRPr="0084778E">
              <w:rPr>
                <w:rFonts w:ascii="Times New Roman" w:eastAsia="Sarabun" w:hAnsi="Times New Roman" w:cs="Times New Roman"/>
                <w:b/>
                <w:bCs/>
                <w:sz w:val="20"/>
                <w:szCs w:val="20"/>
              </w:rPr>
              <w:t>Lorenzo &amp; Dziuban</w:t>
            </w:r>
            <w:r w:rsidRPr="0084778E">
              <w:rPr>
                <w:rFonts w:ascii="Times New Roman" w:eastAsia="Sarabun" w:hAnsi="Times New Roman" w:cs="Times New Roman"/>
                <w:b/>
                <w:bCs/>
                <w:sz w:val="20"/>
                <w:szCs w:val="20"/>
                <w:cs/>
                <w:lang w:bidi="th-TH"/>
              </w:rPr>
              <w:t xml:space="preserve"> </w:t>
            </w:r>
            <w:r w:rsidRPr="0084778E">
              <w:rPr>
                <w:rFonts w:ascii="Times New Roman" w:eastAsia="Sarabun" w:hAnsi="Times New Roman" w:cs="Times New Roman"/>
                <w:b/>
                <w:bCs/>
                <w:sz w:val="20"/>
                <w:szCs w:val="20"/>
              </w:rPr>
              <w:t>(200</w:t>
            </w:r>
            <w:r w:rsidRPr="0084778E">
              <w:rPr>
                <w:rFonts w:ascii="Times New Roman" w:eastAsia="Sarabun" w:hAnsi="Times New Roman" w:cs="Times New Roman"/>
                <w:b/>
                <w:bCs/>
                <w:sz w:val="20"/>
                <w:szCs w:val="20"/>
                <w:cs/>
                <w:lang w:bidi="th-TH"/>
              </w:rPr>
              <w:t>6</w:t>
            </w:r>
            <w:r w:rsidRPr="0084778E">
              <w:rPr>
                <w:rFonts w:ascii="Times New Roman" w:eastAsia="Sarabun" w:hAnsi="Times New Roman" w:cs="Times New Roman"/>
                <w:b/>
                <w:bCs/>
                <w:sz w:val="20"/>
                <w:szCs w:val="20"/>
              </w:rPr>
              <w:t>)</w:t>
            </w:r>
          </w:p>
        </w:tc>
        <w:tc>
          <w:tcPr>
            <w:tcW w:w="278" w:type="pct"/>
            <w:shd w:val="clear" w:color="auto" w:fill="FBE4D5" w:themeFill="accent2" w:themeFillTint="33"/>
            <w:textDirection w:val="btLr"/>
            <w:vAlign w:val="center"/>
          </w:tcPr>
          <w:p w14:paraId="5B8AC335" w14:textId="6962AAD2" w:rsidR="007E098D" w:rsidRPr="0084778E" w:rsidRDefault="007C0815" w:rsidP="00744DFA">
            <w:pPr>
              <w:pStyle w:val="NoSpacing"/>
              <w:jc w:val="center"/>
              <w:rPr>
                <w:rFonts w:ascii="Times New Roman" w:hAnsi="Times New Roman" w:cs="Times New Roman"/>
                <w:b/>
                <w:bCs/>
                <w:sz w:val="20"/>
                <w:szCs w:val="20"/>
                <w:shd w:val="clear" w:color="auto" w:fill="FFFFFF"/>
                <w:lang w:val="en-US" w:bidi="th-TH"/>
              </w:rPr>
            </w:pPr>
            <w:r>
              <w:rPr>
                <w:rFonts w:ascii="Times New Roman" w:eastAsia="Sarabun" w:hAnsi="Times New Roman" w:cs="Times New Roman"/>
                <w:b/>
                <w:bCs/>
                <w:sz w:val="20"/>
                <w:szCs w:val="20"/>
              </w:rPr>
              <w:t xml:space="preserve">21CIF </w:t>
            </w:r>
            <w:r w:rsidRPr="007C0815">
              <w:rPr>
                <w:rFonts w:ascii="Times New Roman" w:eastAsia="Sarabun" w:hAnsi="Times New Roman" w:cs="Times New Roman"/>
                <w:b/>
                <w:bCs/>
                <w:sz w:val="20"/>
                <w:szCs w:val="20"/>
              </w:rPr>
              <w:t>(2024)</w:t>
            </w:r>
          </w:p>
        </w:tc>
        <w:tc>
          <w:tcPr>
            <w:tcW w:w="278" w:type="pct"/>
            <w:tcBorders>
              <w:right w:val="single" w:sz="4" w:space="0" w:color="FFFFFF" w:themeColor="background1"/>
            </w:tcBorders>
            <w:shd w:val="clear" w:color="auto" w:fill="FBE4D5" w:themeFill="accent2" w:themeFillTint="33"/>
            <w:textDirection w:val="btLr"/>
            <w:vAlign w:val="center"/>
          </w:tcPr>
          <w:p w14:paraId="756FB413" w14:textId="77777777" w:rsidR="007E098D"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eastAsia="Sarabun" w:hAnsi="Times New Roman" w:cs="Times New Roman"/>
                <w:b/>
                <w:bCs/>
                <w:sz w:val="20"/>
                <w:szCs w:val="20"/>
              </w:rPr>
              <w:t>Heine et al. (2006)</w:t>
            </w:r>
          </w:p>
        </w:tc>
        <w:tc>
          <w:tcPr>
            <w:tcW w:w="278" w:type="pct"/>
            <w:shd w:val="clear" w:color="auto" w:fill="FBE4D5" w:themeFill="accent2" w:themeFillTint="33"/>
            <w:textDirection w:val="btLr"/>
            <w:vAlign w:val="center"/>
          </w:tcPr>
          <w:p w14:paraId="595C255A" w14:textId="77777777" w:rsidR="007E098D" w:rsidRPr="0084778E" w:rsidRDefault="00000000" w:rsidP="00744DFA">
            <w:pPr>
              <w:pStyle w:val="NoSpacing"/>
              <w:jc w:val="center"/>
              <w:rPr>
                <w:rFonts w:ascii="Times New Roman" w:eastAsia="Sarabun" w:hAnsi="Times New Roman" w:cs="Times New Roman"/>
                <w:b/>
                <w:bCs/>
                <w:sz w:val="20"/>
                <w:szCs w:val="20"/>
                <w:cs/>
                <w:lang w:bidi="th-TH"/>
              </w:rPr>
            </w:pPr>
            <w:r w:rsidRPr="0084778E">
              <w:rPr>
                <w:rFonts w:ascii="Times New Roman" w:eastAsia="Sarabun" w:hAnsi="Times New Roman" w:cs="Times New Roman"/>
                <w:b/>
                <w:bCs/>
                <w:sz w:val="20"/>
                <w:szCs w:val="20"/>
              </w:rPr>
              <w:t>Lombard (2016)</w:t>
            </w:r>
          </w:p>
        </w:tc>
        <w:tc>
          <w:tcPr>
            <w:tcW w:w="277" w:type="pct"/>
            <w:tcBorders>
              <w:right w:val="single" w:sz="4" w:space="0" w:color="FFFFFF" w:themeColor="background1"/>
            </w:tcBorders>
            <w:shd w:val="clear" w:color="auto" w:fill="FBE4D5" w:themeFill="accent2" w:themeFillTint="33"/>
            <w:textDirection w:val="btLr"/>
            <w:vAlign w:val="center"/>
          </w:tcPr>
          <w:p w14:paraId="3F11CFA1" w14:textId="77777777" w:rsidR="007E098D" w:rsidRPr="0084778E" w:rsidRDefault="00000000" w:rsidP="00744DFA">
            <w:pPr>
              <w:pStyle w:val="NoSpacing"/>
              <w:jc w:val="center"/>
              <w:rPr>
                <w:rFonts w:ascii="Times New Roman" w:eastAsia="Sarabun" w:hAnsi="Times New Roman" w:cs="Times New Roman"/>
                <w:b/>
                <w:bCs/>
                <w:sz w:val="20"/>
                <w:szCs w:val="20"/>
                <w:cs/>
                <w:lang w:bidi="th-TH"/>
              </w:rPr>
            </w:pPr>
            <w:r w:rsidRPr="0084778E">
              <w:rPr>
                <w:rStyle w:val="fontstyle01"/>
                <w:rFonts w:ascii="Times New Roman" w:hAnsi="Times New Roman" w:cs="Times New Roman"/>
                <w:b/>
                <w:bCs/>
                <w:color w:val="auto"/>
                <w:sz w:val="20"/>
                <w:szCs w:val="20"/>
              </w:rPr>
              <w:t>Al Ameen (2019)</w:t>
            </w:r>
          </w:p>
        </w:tc>
        <w:tc>
          <w:tcPr>
            <w:tcW w:w="463" w:type="pct"/>
            <w:tcBorders>
              <w:right w:val="single" w:sz="4" w:space="0" w:color="FFFFFF" w:themeColor="background1"/>
            </w:tcBorders>
            <w:shd w:val="clear" w:color="auto" w:fill="FBE4D5" w:themeFill="accent2" w:themeFillTint="33"/>
            <w:textDirection w:val="btLr"/>
            <w:vAlign w:val="center"/>
          </w:tcPr>
          <w:p w14:paraId="2957167A" w14:textId="77777777" w:rsidR="007E098D" w:rsidRPr="0084778E" w:rsidRDefault="00000000" w:rsidP="00744DFA">
            <w:pPr>
              <w:pStyle w:val="NoSpacing"/>
              <w:jc w:val="center"/>
              <w:rPr>
                <w:rFonts w:ascii="Times New Roman" w:eastAsia="Sarabun" w:hAnsi="Times New Roman" w:cs="Times New Roman"/>
                <w:b/>
                <w:bCs/>
                <w:sz w:val="20"/>
                <w:szCs w:val="20"/>
                <w:cs/>
                <w:lang w:bidi="th-TH"/>
              </w:rPr>
            </w:pPr>
            <w:r w:rsidRPr="0084778E">
              <w:rPr>
                <w:rFonts w:ascii="Times New Roman" w:hAnsi="Times New Roman" w:cs="Times New Roman"/>
                <w:b/>
                <w:bCs/>
                <w:sz w:val="20"/>
                <w:szCs w:val="20"/>
              </w:rPr>
              <w:t>NSW Department of Education (2023)</w:t>
            </w:r>
          </w:p>
        </w:tc>
      </w:tr>
      <w:tr w:rsidR="007C0815" w14:paraId="2B1B10A4" w14:textId="77777777" w:rsidTr="007C0815">
        <w:trPr>
          <w:jc w:val="center"/>
        </w:trPr>
        <w:tc>
          <w:tcPr>
            <w:tcW w:w="2044" w:type="pct"/>
            <w:tcBorders>
              <w:left w:val="single" w:sz="4" w:space="0" w:color="FFFFFF" w:themeColor="background1"/>
            </w:tcBorders>
            <w:shd w:val="clear" w:color="auto" w:fill="E2EFD9" w:themeFill="accent6" w:themeFillTint="33"/>
          </w:tcPr>
          <w:p w14:paraId="3B85FF2D"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b/>
                <w:bCs/>
                <w:sz w:val="20"/>
                <w:szCs w:val="20"/>
              </w:rPr>
              <w:t>Digital Information Management (DIM)</w:t>
            </w:r>
          </w:p>
        </w:tc>
        <w:tc>
          <w:tcPr>
            <w:tcW w:w="266" w:type="pct"/>
            <w:shd w:val="clear" w:color="auto" w:fill="E2EFD9" w:themeFill="accent6" w:themeFillTint="33"/>
            <w:vAlign w:val="center"/>
          </w:tcPr>
          <w:p w14:paraId="1E9B306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429C84B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099CE54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315C65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5566CBC0"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3A35DE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E2EFD9" w:themeFill="accent6" w:themeFillTint="33"/>
            <w:vAlign w:val="center"/>
          </w:tcPr>
          <w:p w14:paraId="0D56B9B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531E936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E2EFD9" w:themeFill="accent6" w:themeFillTint="33"/>
            <w:vAlign w:val="center"/>
          </w:tcPr>
          <w:p w14:paraId="570A3AB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E2EFD9" w:themeFill="accent6" w:themeFillTint="33"/>
            <w:vAlign w:val="center"/>
          </w:tcPr>
          <w:p w14:paraId="3E7BB6A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618446FD" w14:textId="77777777" w:rsidTr="007C0815">
        <w:trPr>
          <w:jc w:val="center"/>
        </w:trPr>
        <w:tc>
          <w:tcPr>
            <w:tcW w:w="2044" w:type="pct"/>
            <w:tcBorders>
              <w:left w:val="single" w:sz="4" w:space="0" w:color="FFFFFF" w:themeColor="background1"/>
            </w:tcBorders>
            <w:shd w:val="clear" w:color="auto" w:fill="E2EFD9" w:themeFill="accent6" w:themeFillTint="33"/>
          </w:tcPr>
          <w:p w14:paraId="485A339A" w14:textId="77777777" w:rsidR="007E098D"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Assessment</w:t>
            </w:r>
          </w:p>
        </w:tc>
        <w:tc>
          <w:tcPr>
            <w:tcW w:w="266" w:type="pct"/>
            <w:shd w:val="clear" w:color="auto" w:fill="E2EFD9" w:themeFill="accent6" w:themeFillTint="33"/>
            <w:vAlign w:val="center"/>
          </w:tcPr>
          <w:p w14:paraId="477A747C"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E2EFD9" w:themeFill="accent6" w:themeFillTint="33"/>
            <w:vAlign w:val="center"/>
          </w:tcPr>
          <w:p w14:paraId="3FD3953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330FFC2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07484AB8"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E2EFD9" w:themeFill="accent6" w:themeFillTint="33"/>
            <w:vAlign w:val="center"/>
          </w:tcPr>
          <w:p w14:paraId="7B67285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3F82A376"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tcBorders>
              <w:right w:val="single" w:sz="4" w:space="0" w:color="FFFFFF" w:themeColor="background1"/>
            </w:tcBorders>
            <w:shd w:val="clear" w:color="auto" w:fill="E2EFD9" w:themeFill="accent6" w:themeFillTint="33"/>
            <w:vAlign w:val="center"/>
          </w:tcPr>
          <w:p w14:paraId="11C5BF69"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E2EFD9" w:themeFill="accent6" w:themeFillTint="33"/>
            <w:vAlign w:val="center"/>
          </w:tcPr>
          <w:p w14:paraId="6A4CD4F1"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7" w:type="pct"/>
            <w:tcBorders>
              <w:right w:val="single" w:sz="4" w:space="0" w:color="FFFFFF" w:themeColor="background1"/>
            </w:tcBorders>
            <w:shd w:val="clear" w:color="auto" w:fill="E2EFD9" w:themeFill="accent6" w:themeFillTint="33"/>
            <w:vAlign w:val="center"/>
          </w:tcPr>
          <w:p w14:paraId="20920B6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E2EFD9" w:themeFill="accent6" w:themeFillTint="33"/>
            <w:vAlign w:val="center"/>
          </w:tcPr>
          <w:p w14:paraId="1DCD215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2E58AA5B" w14:textId="77777777" w:rsidTr="007C0815">
        <w:trPr>
          <w:jc w:val="center"/>
        </w:trPr>
        <w:tc>
          <w:tcPr>
            <w:tcW w:w="2044" w:type="pct"/>
            <w:tcBorders>
              <w:left w:val="single" w:sz="4" w:space="0" w:color="FFFFFF" w:themeColor="background1"/>
            </w:tcBorders>
            <w:shd w:val="clear" w:color="auto" w:fill="E2EFD9" w:themeFill="accent6" w:themeFillTint="33"/>
          </w:tcPr>
          <w:p w14:paraId="2AA44FF2"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Critical thinking</w:t>
            </w:r>
          </w:p>
        </w:tc>
        <w:tc>
          <w:tcPr>
            <w:tcW w:w="266" w:type="pct"/>
            <w:shd w:val="clear" w:color="auto" w:fill="E2EFD9" w:themeFill="accent6" w:themeFillTint="33"/>
            <w:vAlign w:val="center"/>
          </w:tcPr>
          <w:p w14:paraId="7C9BD04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00930E91"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E2EFD9" w:themeFill="accent6" w:themeFillTint="33"/>
            <w:vAlign w:val="center"/>
          </w:tcPr>
          <w:p w14:paraId="24A27611"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E2EFD9" w:themeFill="accent6" w:themeFillTint="33"/>
            <w:vAlign w:val="center"/>
          </w:tcPr>
          <w:p w14:paraId="0798362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7562628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5A6B9E6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E2EFD9" w:themeFill="accent6" w:themeFillTint="33"/>
            <w:vAlign w:val="center"/>
          </w:tcPr>
          <w:p w14:paraId="6DA8386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98955C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E2EFD9" w:themeFill="accent6" w:themeFillTint="33"/>
            <w:vAlign w:val="center"/>
          </w:tcPr>
          <w:p w14:paraId="54ABDB1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E2EFD9" w:themeFill="accent6" w:themeFillTint="33"/>
            <w:vAlign w:val="center"/>
          </w:tcPr>
          <w:p w14:paraId="6001564D"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r>
      <w:tr w:rsidR="007C0815" w14:paraId="663E976B" w14:textId="77777777" w:rsidTr="007C0815">
        <w:trPr>
          <w:jc w:val="center"/>
        </w:trPr>
        <w:tc>
          <w:tcPr>
            <w:tcW w:w="2044" w:type="pct"/>
            <w:tcBorders>
              <w:left w:val="single" w:sz="4" w:space="0" w:color="FFFFFF" w:themeColor="background1"/>
            </w:tcBorders>
            <w:shd w:val="clear" w:color="auto" w:fill="E2EFD9" w:themeFill="accent6" w:themeFillTint="33"/>
          </w:tcPr>
          <w:p w14:paraId="1A8C2B7E" w14:textId="77777777" w:rsidR="007E098D" w:rsidRPr="0084778E" w:rsidRDefault="00000000" w:rsidP="00744DFA">
            <w:pPr>
              <w:pStyle w:val="NoSpacing"/>
              <w:rPr>
                <w:rFonts w:ascii="Times New Roman" w:hAnsi="Times New Roman" w:cs="Times New Roman"/>
                <w:sz w:val="20"/>
                <w:szCs w:val="20"/>
                <w:cs/>
                <w:lang w:bidi="th-TH"/>
              </w:rPr>
            </w:pPr>
            <w:r w:rsidRPr="0084778E">
              <w:rPr>
                <w:rFonts w:ascii="Times New Roman" w:hAnsi="Times New Roman" w:cs="Times New Roman"/>
                <w:sz w:val="20"/>
                <w:szCs w:val="20"/>
              </w:rPr>
              <w:t>Identification (defining information needs)</w:t>
            </w:r>
          </w:p>
        </w:tc>
        <w:tc>
          <w:tcPr>
            <w:tcW w:w="266" w:type="pct"/>
            <w:shd w:val="clear" w:color="auto" w:fill="E2EFD9" w:themeFill="accent6" w:themeFillTint="33"/>
            <w:vAlign w:val="center"/>
          </w:tcPr>
          <w:p w14:paraId="0E6D50B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12BE9BC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356B019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5284DE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5641672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261FA4B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E2EFD9" w:themeFill="accent6" w:themeFillTint="33"/>
            <w:vAlign w:val="center"/>
          </w:tcPr>
          <w:p w14:paraId="26FE5D3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0749E570"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7" w:type="pct"/>
            <w:tcBorders>
              <w:right w:val="single" w:sz="4" w:space="0" w:color="FFFFFF" w:themeColor="background1"/>
            </w:tcBorders>
            <w:shd w:val="clear" w:color="auto" w:fill="E2EFD9" w:themeFill="accent6" w:themeFillTint="33"/>
            <w:vAlign w:val="center"/>
          </w:tcPr>
          <w:p w14:paraId="38F3BBDA"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463" w:type="pct"/>
            <w:tcBorders>
              <w:right w:val="single" w:sz="4" w:space="0" w:color="FFFFFF" w:themeColor="background1"/>
            </w:tcBorders>
            <w:shd w:val="clear" w:color="auto" w:fill="E2EFD9" w:themeFill="accent6" w:themeFillTint="33"/>
            <w:vAlign w:val="center"/>
          </w:tcPr>
          <w:p w14:paraId="797A5C9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1ACE9E48" w14:textId="77777777" w:rsidTr="007C0815">
        <w:trPr>
          <w:jc w:val="center"/>
        </w:trPr>
        <w:tc>
          <w:tcPr>
            <w:tcW w:w="2044" w:type="pct"/>
            <w:tcBorders>
              <w:left w:val="single" w:sz="4" w:space="0" w:color="FFFFFF" w:themeColor="background1"/>
            </w:tcBorders>
            <w:shd w:val="clear" w:color="auto" w:fill="E2EFD9" w:themeFill="accent6" w:themeFillTint="33"/>
          </w:tcPr>
          <w:p w14:paraId="0A43D53E"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Asking questions</w:t>
            </w:r>
          </w:p>
        </w:tc>
        <w:tc>
          <w:tcPr>
            <w:tcW w:w="266" w:type="pct"/>
            <w:shd w:val="clear" w:color="auto" w:fill="E2EFD9" w:themeFill="accent6" w:themeFillTint="33"/>
            <w:vAlign w:val="center"/>
          </w:tcPr>
          <w:p w14:paraId="6758582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433BC07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6527FD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05FE942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12864F1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45961F8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E2EFD9" w:themeFill="accent6" w:themeFillTint="33"/>
            <w:vAlign w:val="center"/>
          </w:tcPr>
          <w:p w14:paraId="2B44013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AEE806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E2EFD9" w:themeFill="accent6" w:themeFillTint="33"/>
            <w:vAlign w:val="center"/>
          </w:tcPr>
          <w:p w14:paraId="5AC0D3D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E2EFD9" w:themeFill="accent6" w:themeFillTint="33"/>
            <w:vAlign w:val="center"/>
          </w:tcPr>
          <w:p w14:paraId="328B086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77A8D239" w14:textId="77777777" w:rsidTr="007C0815">
        <w:trPr>
          <w:jc w:val="center"/>
        </w:trPr>
        <w:tc>
          <w:tcPr>
            <w:tcW w:w="2044" w:type="pct"/>
            <w:tcBorders>
              <w:left w:val="single" w:sz="4" w:space="0" w:color="FFFFFF" w:themeColor="background1"/>
            </w:tcBorders>
            <w:shd w:val="clear" w:color="auto" w:fill="E2EFD9" w:themeFill="accent6" w:themeFillTint="33"/>
          </w:tcPr>
          <w:p w14:paraId="039AE67C"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Analysis</w:t>
            </w:r>
          </w:p>
        </w:tc>
        <w:tc>
          <w:tcPr>
            <w:tcW w:w="266" w:type="pct"/>
            <w:shd w:val="clear" w:color="auto" w:fill="E2EFD9" w:themeFill="accent6" w:themeFillTint="33"/>
            <w:vAlign w:val="center"/>
          </w:tcPr>
          <w:p w14:paraId="6888CA9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2D198E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1DE4257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547E4BF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0C35986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7F2568E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E2EFD9" w:themeFill="accent6" w:themeFillTint="33"/>
            <w:vAlign w:val="center"/>
          </w:tcPr>
          <w:p w14:paraId="593782C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41A0B9C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E2EFD9" w:themeFill="accent6" w:themeFillTint="33"/>
            <w:vAlign w:val="center"/>
          </w:tcPr>
          <w:p w14:paraId="4E03C49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E2EFD9" w:themeFill="accent6" w:themeFillTint="33"/>
            <w:vAlign w:val="center"/>
          </w:tcPr>
          <w:p w14:paraId="0199784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0257682D" w14:textId="77777777" w:rsidTr="007C0815">
        <w:trPr>
          <w:jc w:val="center"/>
        </w:trPr>
        <w:tc>
          <w:tcPr>
            <w:tcW w:w="2044" w:type="pct"/>
            <w:tcBorders>
              <w:left w:val="single" w:sz="4" w:space="0" w:color="FFFFFF" w:themeColor="background1"/>
            </w:tcBorders>
            <w:shd w:val="clear" w:color="auto" w:fill="E2EFD9" w:themeFill="accent6" w:themeFillTint="33"/>
          </w:tcPr>
          <w:p w14:paraId="2295D403"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Knowledge reformulation</w:t>
            </w:r>
          </w:p>
        </w:tc>
        <w:tc>
          <w:tcPr>
            <w:tcW w:w="266" w:type="pct"/>
            <w:shd w:val="clear" w:color="auto" w:fill="E2EFD9" w:themeFill="accent6" w:themeFillTint="33"/>
            <w:vAlign w:val="center"/>
          </w:tcPr>
          <w:p w14:paraId="68F34D7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58F0521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1689C6C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3E9B56E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68627007"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E2EFD9" w:themeFill="accent6" w:themeFillTint="33"/>
            <w:vAlign w:val="center"/>
          </w:tcPr>
          <w:p w14:paraId="2370A3A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E2EFD9" w:themeFill="accent6" w:themeFillTint="33"/>
            <w:vAlign w:val="center"/>
          </w:tcPr>
          <w:p w14:paraId="3342C86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E2EFD9" w:themeFill="accent6" w:themeFillTint="33"/>
            <w:vAlign w:val="center"/>
          </w:tcPr>
          <w:p w14:paraId="240E307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E2EFD9" w:themeFill="accent6" w:themeFillTint="33"/>
            <w:vAlign w:val="center"/>
          </w:tcPr>
          <w:p w14:paraId="4F662F6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E2EFD9" w:themeFill="accent6" w:themeFillTint="33"/>
            <w:vAlign w:val="center"/>
          </w:tcPr>
          <w:p w14:paraId="1E356B0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3A495890" w14:textId="77777777" w:rsidTr="007C0815">
        <w:trPr>
          <w:jc w:val="center"/>
        </w:trPr>
        <w:tc>
          <w:tcPr>
            <w:tcW w:w="2044" w:type="pct"/>
            <w:tcBorders>
              <w:left w:val="single" w:sz="4" w:space="0" w:color="FFFFFF" w:themeColor="background1"/>
            </w:tcBorders>
            <w:shd w:val="clear" w:color="auto" w:fill="D9E2F3" w:themeFill="accent5" w:themeFillTint="33"/>
          </w:tcPr>
          <w:p w14:paraId="6E443327" w14:textId="77777777" w:rsidR="007E098D" w:rsidRPr="0084778E" w:rsidRDefault="00000000" w:rsidP="00744DFA">
            <w:pPr>
              <w:pStyle w:val="NoSpacing"/>
              <w:rPr>
                <w:rFonts w:ascii="Times New Roman" w:hAnsi="Times New Roman" w:cs="Times New Roman"/>
                <w:b/>
                <w:bCs/>
                <w:sz w:val="20"/>
                <w:szCs w:val="20"/>
              </w:rPr>
            </w:pPr>
            <w:r w:rsidRPr="0084778E">
              <w:rPr>
                <w:rFonts w:ascii="Times New Roman" w:hAnsi="Times New Roman" w:cs="Times New Roman"/>
                <w:b/>
                <w:bCs/>
                <w:sz w:val="20"/>
                <w:szCs w:val="20"/>
              </w:rPr>
              <w:t>Digital Literacy (DL)</w:t>
            </w:r>
          </w:p>
        </w:tc>
        <w:tc>
          <w:tcPr>
            <w:tcW w:w="266" w:type="pct"/>
            <w:shd w:val="clear" w:color="auto" w:fill="D9E2F3" w:themeFill="accent5" w:themeFillTint="33"/>
            <w:vAlign w:val="center"/>
          </w:tcPr>
          <w:p w14:paraId="496B50D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3509014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3582CAF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75B1858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365D5CE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36C2966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D9E2F3" w:themeFill="accent5" w:themeFillTint="33"/>
            <w:vAlign w:val="center"/>
          </w:tcPr>
          <w:p w14:paraId="621026D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20AEB58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D9E2F3" w:themeFill="accent5" w:themeFillTint="33"/>
            <w:vAlign w:val="center"/>
          </w:tcPr>
          <w:p w14:paraId="697721C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D9E2F3" w:themeFill="accent5" w:themeFillTint="33"/>
            <w:vAlign w:val="center"/>
          </w:tcPr>
          <w:p w14:paraId="1A57EDC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1A2BD75D" w14:textId="77777777" w:rsidTr="007C0815">
        <w:trPr>
          <w:jc w:val="center"/>
        </w:trPr>
        <w:tc>
          <w:tcPr>
            <w:tcW w:w="2044" w:type="pct"/>
            <w:tcBorders>
              <w:left w:val="single" w:sz="4" w:space="0" w:color="FFFFFF" w:themeColor="background1"/>
            </w:tcBorders>
            <w:shd w:val="clear" w:color="auto" w:fill="D9E2F3" w:themeFill="accent5" w:themeFillTint="33"/>
          </w:tcPr>
          <w:p w14:paraId="2AD7566B"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Searching</w:t>
            </w:r>
          </w:p>
        </w:tc>
        <w:tc>
          <w:tcPr>
            <w:tcW w:w="266" w:type="pct"/>
            <w:shd w:val="clear" w:color="auto" w:fill="D9E2F3" w:themeFill="accent5" w:themeFillTint="33"/>
            <w:vAlign w:val="center"/>
          </w:tcPr>
          <w:p w14:paraId="221B1300"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D9E2F3" w:themeFill="accent5" w:themeFillTint="33"/>
            <w:vAlign w:val="center"/>
          </w:tcPr>
          <w:p w14:paraId="03B4AF7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45BBE7C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54B7BA0C"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D9E2F3" w:themeFill="accent5" w:themeFillTint="33"/>
            <w:vAlign w:val="center"/>
          </w:tcPr>
          <w:p w14:paraId="276948C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0D19119F"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tcBorders>
              <w:right w:val="single" w:sz="4" w:space="0" w:color="FFFFFF" w:themeColor="background1"/>
            </w:tcBorders>
            <w:shd w:val="clear" w:color="auto" w:fill="D9E2F3" w:themeFill="accent5" w:themeFillTint="33"/>
            <w:vAlign w:val="center"/>
          </w:tcPr>
          <w:p w14:paraId="15C5BDC2"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D9E2F3" w:themeFill="accent5" w:themeFillTint="33"/>
            <w:vAlign w:val="center"/>
          </w:tcPr>
          <w:p w14:paraId="5E0D6968"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7" w:type="pct"/>
            <w:tcBorders>
              <w:right w:val="single" w:sz="4" w:space="0" w:color="FFFFFF" w:themeColor="background1"/>
            </w:tcBorders>
            <w:shd w:val="clear" w:color="auto" w:fill="D9E2F3" w:themeFill="accent5" w:themeFillTint="33"/>
            <w:vAlign w:val="center"/>
          </w:tcPr>
          <w:p w14:paraId="4391A1E2"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463" w:type="pct"/>
            <w:tcBorders>
              <w:right w:val="single" w:sz="4" w:space="0" w:color="FFFFFF" w:themeColor="background1"/>
            </w:tcBorders>
            <w:shd w:val="clear" w:color="auto" w:fill="D9E2F3" w:themeFill="accent5" w:themeFillTint="33"/>
            <w:vAlign w:val="center"/>
          </w:tcPr>
          <w:p w14:paraId="44FC328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5EE9DB32" w14:textId="77777777" w:rsidTr="007C0815">
        <w:trPr>
          <w:jc w:val="center"/>
        </w:trPr>
        <w:tc>
          <w:tcPr>
            <w:tcW w:w="2044" w:type="pct"/>
            <w:tcBorders>
              <w:left w:val="single" w:sz="4" w:space="0" w:color="FFFFFF" w:themeColor="background1"/>
            </w:tcBorders>
            <w:shd w:val="clear" w:color="auto" w:fill="D9E2F3" w:themeFill="accent5" w:themeFillTint="33"/>
          </w:tcPr>
          <w:p w14:paraId="1EF1CE99"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Information literacy</w:t>
            </w:r>
          </w:p>
        </w:tc>
        <w:tc>
          <w:tcPr>
            <w:tcW w:w="266" w:type="pct"/>
            <w:shd w:val="clear" w:color="auto" w:fill="D9E2F3" w:themeFill="accent5" w:themeFillTint="33"/>
            <w:vAlign w:val="center"/>
          </w:tcPr>
          <w:p w14:paraId="3D8F85D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460D92A5"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D9E2F3" w:themeFill="accent5" w:themeFillTint="33"/>
            <w:vAlign w:val="center"/>
          </w:tcPr>
          <w:p w14:paraId="11BF971D"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D9E2F3" w:themeFill="accent5" w:themeFillTint="33"/>
            <w:vAlign w:val="center"/>
          </w:tcPr>
          <w:p w14:paraId="7E14FED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068146A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287FAE7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D9E2F3" w:themeFill="accent5" w:themeFillTint="33"/>
            <w:vAlign w:val="center"/>
          </w:tcPr>
          <w:p w14:paraId="4554B72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5E02A47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D9E2F3" w:themeFill="accent5" w:themeFillTint="33"/>
            <w:vAlign w:val="center"/>
          </w:tcPr>
          <w:p w14:paraId="266D230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D9E2F3" w:themeFill="accent5" w:themeFillTint="33"/>
            <w:vAlign w:val="center"/>
          </w:tcPr>
          <w:p w14:paraId="43E5B8A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7C0A091F" w14:textId="77777777" w:rsidTr="007C0815">
        <w:trPr>
          <w:jc w:val="center"/>
        </w:trPr>
        <w:tc>
          <w:tcPr>
            <w:tcW w:w="2044" w:type="pct"/>
            <w:tcBorders>
              <w:left w:val="single" w:sz="4" w:space="0" w:color="FFFFFF" w:themeColor="background1"/>
            </w:tcBorders>
            <w:shd w:val="clear" w:color="auto" w:fill="D9E2F3" w:themeFill="accent5" w:themeFillTint="33"/>
          </w:tcPr>
          <w:p w14:paraId="4C8B0905"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Computer literacy</w:t>
            </w:r>
          </w:p>
        </w:tc>
        <w:tc>
          <w:tcPr>
            <w:tcW w:w="266" w:type="pct"/>
            <w:shd w:val="clear" w:color="auto" w:fill="D9E2F3" w:themeFill="accent5" w:themeFillTint="33"/>
            <w:vAlign w:val="center"/>
          </w:tcPr>
          <w:p w14:paraId="0CE5E85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6B0E7405"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D9E2F3" w:themeFill="accent5" w:themeFillTint="33"/>
            <w:vAlign w:val="center"/>
          </w:tcPr>
          <w:p w14:paraId="2485C2AD"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D9E2F3" w:themeFill="accent5" w:themeFillTint="33"/>
            <w:vAlign w:val="center"/>
          </w:tcPr>
          <w:p w14:paraId="3A8A3F30"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64A6F43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73F3013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D9E2F3" w:themeFill="accent5" w:themeFillTint="33"/>
            <w:vAlign w:val="center"/>
          </w:tcPr>
          <w:p w14:paraId="4C83BAF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74A91B0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D9E2F3" w:themeFill="accent5" w:themeFillTint="33"/>
            <w:vAlign w:val="center"/>
          </w:tcPr>
          <w:p w14:paraId="167DDDD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D9E2F3" w:themeFill="accent5" w:themeFillTint="33"/>
            <w:vAlign w:val="center"/>
          </w:tcPr>
          <w:p w14:paraId="75B3567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5D4CA9C5" w14:textId="77777777" w:rsidTr="007C0815">
        <w:trPr>
          <w:jc w:val="center"/>
        </w:trPr>
        <w:tc>
          <w:tcPr>
            <w:tcW w:w="2044" w:type="pct"/>
            <w:tcBorders>
              <w:left w:val="single" w:sz="4" w:space="0" w:color="FFFFFF" w:themeColor="background1"/>
            </w:tcBorders>
            <w:shd w:val="clear" w:color="auto" w:fill="D9E2F3" w:themeFill="accent5" w:themeFillTint="33"/>
          </w:tcPr>
          <w:p w14:paraId="280CD317" w14:textId="77777777" w:rsidR="007E098D"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Teamwork/collaboration</w:t>
            </w:r>
          </w:p>
        </w:tc>
        <w:tc>
          <w:tcPr>
            <w:tcW w:w="266" w:type="pct"/>
            <w:shd w:val="clear" w:color="auto" w:fill="D9E2F3" w:themeFill="accent5" w:themeFillTint="33"/>
            <w:vAlign w:val="center"/>
          </w:tcPr>
          <w:p w14:paraId="0F0AD15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2D0D514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72F4728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26DB6FE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4B61B5B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7E85B094"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tcBorders>
              <w:right w:val="single" w:sz="4" w:space="0" w:color="FFFFFF" w:themeColor="background1"/>
            </w:tcBorders>
            <w:shd w:val="clear" w:color="auto" w:fill="D9E2F3" w:themeFill="accent5" w:themeFillTint="33"/>
            <w:vAlign w:val="center"/>
          </w:tcPr>
          <w:p w14:paraId="69D42250"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0A353D58"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7" w:type="pct"/>
            <w:tcBorders>
              <w:right w:val="single" w:sz="4" w:space="0" w:color="FFFFFF" w:themeColor="background1"/>
            </w:tcBorders>
            <w:shd w:val="clear" w:color="auto" w:fill="D9E2F3" w:themeFill="accent5" w:themeFillTint="33"/>
            <w:vAlign w:val="center"/>
          </w:tcPr>
          <w:p w14:paraId="377F0A1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D9E2F3" w:themeFill="accent5" w:themeFillTint="33"/>
            <w:vAlign w:val="center"/>
          </w:tcPr>
          <w:p w14:paraId="1FB4271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15479F52" w14:textId="77777777" w:rsidTr="007C0815">
        <w:trPr>
          <w:jc w:val="center"/>
        </w:trPr>
        <w:tc>
          <w:tcPr>
            <w:tcW w:w="2044" w:type="pct"/>
            <w:tcBorders>
              <w:left w:val="single" w:sz="4" w:space="0" w:color="FFFFFF" w:themeColor="background1"/>
            </w:tcBorders>
            <w:shd w:val="clear" w:color="auto" w:fill="D9E2F3" w:themeFill="accent5" w:themeFillTint="33"/>
          </w:tcPr>
          <w:p w14:paraId="6119D38A"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Acquire/awareness</w:t>
            </w:r>
          </w:p>
        </w:tc>
        <w:tc>
          <w:tcPr>
            <w:tcW w:w="266" w:type="pct"/>
            <w:shd w:val="clear" w:color="auto" w:fill="D9E2F3" w:themeFill="accent5" w:themeFillTint="33"/>
            <w:vAlign w:val="center"/>
          </w:tcPr>
          <w:p w14:paraId="36D5415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2E38187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390E9A9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004D702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35D3F46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1F53559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D9E2F3" w:themeFill="accent5" w:themeFillTint="33"/>
            <w:vAlign w:val="center"/>
          </w:tcPr>
          <w:p w14:paraId="5B07E2C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5894442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D9E2F3" w:themeFill="accent5" w:themeFillTint="33"/>
            <w:vAlign w:val="center"/>
          </w:tcPr>
          <w:p w14:paraId="4B07BE7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D9E2F3" w:themeFill="accent5" w:themeFillTint="33"/>
            <w:vAlign w:val="center"/>
          </w:tcPr>
          <w:p w14:paraId="0323F3A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36C3C559" w14:textId="77777777" w:rsidTr="007C0815">
        <w:trPr>
          <w:jc w:val="center"/>
        </w:trPr>
        <w:tc>
          <w:tcPr>
            <w:tcW w:w="2044" w:type="pct"/>
            <w:tcBorders>
              <w:left w:val="single" w:sz="4" w:space="0" w:color="FFFFFF" w:themeColor="background1"/>
            </w:tcBorders>
            <w:shd w:val="clear" w:color="auto" w:fill="D9E2F3" w:themeFill="accent5" w:themeFillTint="33"/>
          </w:tcPr>
          <w:p w14:paraId="77B7C91B" w14:textId="77777777" w:rsidR="007E098D"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Information access</w:t>
            </w:r>
          </w:p>
        </w:tc>
        <w:tc>
          <w:tcPr>
            <w:tcW w:w="266" w:type="pct"/>
            <w:shd w:val="clear" w:color="auto" w:fill="D9E2F3" w:themeFill="accent5" w:themeFillTint="33"/>
            <w:vAlign w:val="center"/>
          </w:tcPr>
          <w:p w14:paraId="60AB0A1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1CAFFDB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26A5F12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47217FE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6B34516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5123B4C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D9E2F3" w:themeFill="accent5" w:themeFillTint="33"/>
            <w:vAlign w:val="center"/>
          </w:tcPr>
          <w:p w14:paraId="61DA564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102DFAC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D9E2F3" w:themeFill="accent5" w:themeFillTint="33"/>
            <w:vAlign w:val="center"/>
          </w:tcPr>
          <w:p w14:paraId="4EF980B9"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463" w:type="pct"/>
            <w:tcBorders>
              <w:right w:val="single" w:sz="4" w:space="0" w:color="FFFFFF" w:themeColor="background1"/>
            </w:tcBorders>
            <w:shd w:val="clear" w:color="auto" w:fill="D9E2F3" w:themeFill="accent5" w:themeFillTint="33"/>
            <w:vAlign w:val="center"/>
          </w:tcPr>
          <w:p w14:paraId="54CC256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1D1D9A60" w14:textId="77777777" w:rsidTr="007C0815">
        <w:trPr>
          <w:jc w:val="center"/>
        </w:trPr>
        <w:tc>
          <w:tcPr>
            <w:tcW w:w="2044" w:type="pct"/>
            <w:tcBorders>
              <w:left w:val="single" w:sz="4" w:space="0" w:color="FFFFFF" w:themeColor="background1"/>
            </w:tcBorders>
            <w:shd w:val="clear" w:color="auto" w:fill="D9E2F3" w:themeFill="accent5" w:themeFillTint="33"/>
          </w:tcPr>
          <w:p w14:paraId="0F76B483" w14:textId="77777777" w:rsidR="007E098D"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Ethics and legal use of information</w:t>
            </w:r>
          </w:p>
        </w:tc>
        <w:tc>
          <w:tcPr>
            <w:tcW w:w="266" w:type="pct"/>
            <w:shd w:val="clear" w:color="auto" w:fill="D9E2F3" w:themeFill="accent5" w:themeFillTint="33"/>
            <w:vAlign w:val="center"/>
          </w:tcPr>
          <w:p w14:paraId="57F7BC8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5607CCE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044C6F3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03528A4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108EEF8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5688CB7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D9E2F3" w:themeFill="accent5" w:themeFillTint="33"/>
            <w:vAlign w:val="center"/>
          </w:tcPr>
          <w:p w14:paraId="58F1890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4522258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D9E2F3" w:themeFill="accent5" w:themeFillTint="33"/>
            <w:vAlign w:val="center"/>
          </w:tcPr>
          <w:p w14:paraId="4A07C740"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463" w:type="pct"/>
            <w:tcBorders>
              <w:right w:val="single" w:sz="4" w:space="0" w:color="FFFFFF" w:themeColor="background1"/>
            </w:tcBorders>
            <w:shd w:val="clear" w:color="auto" w:fill="D9E2F3" w:themeFill="accent5" w:themeFillTint="33"/>
            <w:vAlign w:val="center"/>
          </w:tcPr>
          <w:p w14:paraId="2773B61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440D4F44" w14:textId="77777777" w:rsidTr="007C0815">
        <w:trPr>
          <w:jc w:val="center"/>
        </w:trPr>
        <w:tc>
          <w:tcPr>
            <w:tcW w:w="2044" w:type="pct"/>
            <w:tcBorders>
              <w:left w:val="single" w:sz="4" w:space="0" w:color="FFFFFF" w:themeColor="background1"/>
            </w:tcBorders>
            <w:shd w:val="clear" w:color="auto" w:fill="D9E2F3" w:themeFill="accent5" w:themeFillTint="33"/>
          </w:tcPr>
          <w:p w14:paraId="13B81EAF" w14:textId="77777777" w:rsidR="007E098D"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b/>
                <w:bCs/>
                <w:sz w:val="20"/>
                <w:szCs w:val="20"/>
                <w:shd w:val="clear" w:color="auto" w:fill="FFFFFF"/>
              </w:rPr>
              <w:t>Digital Data Communication</w:t>
            </w:r>
          </w:p>
        </w:tc>
        <w:tc>
          <w:tcPr>
            <w:tcW w:w="266" w:type="pct"/>
            <w:shd w:val="clear" w:color="auto" w:fill="D9E2F3" w:themeFill="accent5" w:themeFillTint="33"/>
            <w:vAlign w:val="center"/>
          </w:tcPr>
          <w:p w14:paraId="197DCFD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0A9AD0F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704F11C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246A0A2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1313AA8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748186E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D9E2F3" w:themeFill="accent5" w:themeFillTint="33"/>
            <w:vAlign w:val="center"/>
          </w:tcPr>
          <w:p w14:paraId="282257C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D9E2F3" w:themeFill="accent5" w:themeFillTint="33"/>
            <w:vAlign w:val="center"/>
          </w:tcPr>
          <w:p w14:paraId="488DC50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D9E2F3" w:themeFill="accent5" w:themeFillTint="33"/>
            <w:vAlign w:val="center"/>
          </w:tcPr>
          <w:p w14:paraId="01CD958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D9E2F3" w:themeFill="accent5" w:themeFillTint="33"/>
            <w:vAlign w:val="center"/>
          </w:tcPr>
          <w:p w14:paraId="46EE6E6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290A45F5" w14:textId="77777777" w:rsidTr="007C0815">
        <w:trPr>
          <w:jc w:val="center"/>
        </w:trPr>
        <w:tc>
          <w:tcPr>
            <w:tcW w:w="2044" w:type="pct"/>
            <w:tcBorders>
              <w:left w:val="single" w:sz="4" w:space="0" w:color="FFFFFF" w:themeColor="background1"/>
            </w:tcBorders>
            <w:shd w:val="clear" w:color="auto" w:fill="FFF2CC" w:themeFill="accent4" w:themeFillTint="33"/>
          </w:tcPr>
          <w:p w14:paraId="4DA6ADE2"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Information/data use</w:t>
            </w:r>
          </w:p>
        </w:tc>
        <w:tc>
          <w:tcPr>
            <w:tcW w:w="266" w:type="pct"/>
            <w:shd w:val="clear" w:color="auto" w:fill="FFF2CC" w:themeFill="accent4" w:themeFillTint="33"/>
            <w:vAlign w:val="center"/>
          </w:tcPr>
          <w:p w14:paraId="0E698A33"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FFF2CC" w:themeFill="accent4" w:themeFillTint="33"/>
            <w:vAlign w:val="center"/>
          </w:tcPr>
          <w:p w14:paraId="01E78AD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2AC70CF0"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31482610"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FFF2CC" w:themeFill="accent4" w:themeFillTint="33"/>
            <w:vAlign w:val="center"/>
          </w:tcPr>
          <w:p w14:paraId="37E8FA3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7FD512D5"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tcBorders>
              <w:right w:val="single" w:sz="4" w:space="0" w:color="FFFFFF" w:themeColor="background1"/>
            </w:tcBorders>
            <w:shd w:val="clear" w:color="auto" w:fill="FFF2CC" w:themeFill="accent4" w:themeFillTint="33"/>
            <w:vAlign w:val="center"/>
          </w:tcPr>
          <w:p w14:paraId="2C406E51"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FFF2CC" w:themeFill="accent4" w:themeFillTint="33"/>
            <w:vAlign w:val="center"/>
          </w:tcPr>
          <w:p w14:paraId="3ED4D37F"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7" w:type="pct"/>
            <w:tcBorders>
              <w:right w:val="single" w:sz="4" w:space="0" w:color="FFFFFF" w:themeColor="background1"/>
            </w:tcBorders>
            <w:shd w:val="clear" w:color="auto" w:fill="FFF2CC" w:themeFill="accent4" w:themeFillTint="33"/>
            <w:vAlign w:val="center"/>
          </w:tcPr>
          <w:p w14:paraId="05C2803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FFF2CC" w:themeFill="accent4" w:themeFillTint="33"/>
            <w:vAlign w:val="center"/>
          </w:tcPr>
          <w:p w14:paraId="11BD5FA0"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r>
      <w:tr w:rsidR="007C0815" w14:paraId="3F4795E8" w14:textId="77777777" w:rsidTr="007C0815">
        <w:trPr>
          <w:jc w:val="center"/>
        </w:trPr>
        <w:tc>
          <w:tcPr>
            <w:tcW w:w="2044" w:type="pct"/>
            <w:tcBorders>
              <w:left w:val="single" w:sz="4" w:space="0" w:color="FFFFFF" w:themeColor="background1"/>
            </w:tcBorders>
            <w:shd w:val="clear" w:color="auto" w:fill="FFF2CC" w:themeFill="accent4" w:themeFillTint="33"/>
          </w:tcPr>
          <w:p w14:paraId="0A2A90C3" w14:textId="77777777" w:rsidR="007E098D"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Digital technology use</w:t>
            </w:r>
          </w:p>
        </w:tc>
        <w:tc>
          <w:tcPr>
            <w:tcW w:w="266" w:type="pct"/>
            <w:shd w:val="clear" w:color="auto" w:fill="FFF2CC" w:themeFill="accent4" w:themeFillTint="33"/>
            <w:vAlign w:val="center"/>
          </w:tcPr>
          <w:p w14:paraId="1E004AA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0C3BC86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6C83B696"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140087E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736AD36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643C12F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FFF2CC" w:themeFill="accent4" w:themeFillTint="33"/>
            <w:vAlign w:val="center"/>
          </w:tcPr>
          <w:p w14:paraId="6FB183B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08163350"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7" w:type="pct"/>
            <w:tcBorders>
              <w:right w:val="single" w:sz="4" w:space="0" w:color="FFFFFF" w:themeColor="background1"/>
            </w:tcBorders>
            <w:shd w:val="clear" w:color="auto" w:fill="FFF2CC" w:themeFill="accent4" w:themeFillTint="33"/>
            <w:vAlign w:val="center"/>
          </w:tcPr>
          <w:p w14:paraId="56BB2A0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FFF2CC" w:themeFill="accent4" w:themeFillTint="33"/>
            <w:vAlign w:val="center"/>
          </w:tcPr>
          <w:p w14:paraId="65491215"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r>
      <w:tr w:rsidR="007C0815" w14:paraId="0DD33700" w14:textId="77777777" w:rsidTr="007C0815">
        <w:trPr>
          <w:jc w:val="center"/>
        </w:trPr>
        <w:tc>
          <w:tcPr>
            <w:tcW w:w="2044" w:type="pct"/>
            <w:tcBorders>
              <w:left w:val="single" w:sz="4" w:space="0" w:color="FFFFFF" w:themeColor="background1"/>
            </w:tcBorders>
            <w:shd w:val="clear" w:color="auto" w:fill="FFF2CC" w:themeFill="accent4" w:themeFillTint="33"/>
          </w:tcPr>
          <w:p w14:paraId="384EBCCC"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Applications</w:t>
            </w:r>
          </w:p>
        </w:tc>
        <w:tc>
          <w:tcPr>
            <w:tcW w:w="266" w:type="pct"/>
            <w:shd w:val="clear" w:color="auto" w:fill="FFF2CC" w:themeFill="accent4" w:themeFillTint="33"/>
            <w:vAlign w:val="center"/>
          </w:tcPr>
          <w:p w14:paraId="3FADBDF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075CAC9B"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095678E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5569BB9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544D8E9A"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3E649D7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FFF2CC" w:themeFill="accent4" w:themeFillTint="33"/>
            <w:vAlign w:val="center"/>
          </w:tcPr>
          <w:p w14:paraId="34FA7B5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085A4B3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FFF2CC" w:themeFill="accent4" w:themeFillTint="33"/>
            <w:vAlign w:val="center"/>
          </w:tcPr>
          <w:p w14:paraId="0B034C14"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FFF2CC" w:themeFill="accent4" w:themeFillTint="33"/>
            <w:vAlign w:val="center"/>
          </w:tcPr>
          <w:p w14:paraId="188A545D"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77D9675A" w14:textId="77777777" w:rsidTr="007C0815">
        <w:trPr>
          <w:jc w:val="center"/>
        </w:trPr>
        <w:tc>
          <w:tcPr>
            <w:tcW w:w="2044" w:type="pct"/>
            <w:tcBorders>
              <w:left w:val="single" w:sz="4" w:space="0" w:color="FFFFFF" w:themeColor="background1"/>
            </w:tcBorders>
            <w:shd w:val="clear" w:color="auto" w:fill="FFF2CC" w:themeFill="accent4" w:themeFillTint="33"/>
          </w:tcPr>
          <w:p w14:paraId="7AF1ABDA"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Creative expression</w:t>
            </w:r>
          </w:p>
        </w:tc>
        <w:tc>
          <w:tcPr>
            <w:tcW w:w="266" w:type="pct"/>
            <w:shd w:val="clear" w:color="auto" w:fill="FFF2CC" w:themeFill="accent4" w:themeFillTint="33"/>
            <w:vAlign w:val="center"/>
          </w:tcPr>
          <w:p w14:paraId="245AB48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46CC229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2056DCC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3F5FCE4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59793E6D"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FFF2CC" w:themeFill="accent4" w:themeFillTint="33"/>
            <w:vAlign w:val="center"/>
          </w:tcPr>
          <w:p w14:paraId="1B5CC420"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FFF2CC" w:themeFill="accent4" w:themeFillTint="33"/>
            <w:vAlign w:val="center"/>
          </w:tcPr>
          <w:p w14:paraId="50DCC203"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400BC462"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FFF2CC" w:themeFill="accent4" w:themeFillTint="33"/>
            <w:vAlign w:val="center"/>
          </w:tcPr>
          <w:p w14:paraId="1E79AE8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FFF2CC" w:themeFill="accent4" w:themeFillTint="33"/>
            <w:vAlign w:val="center"/>
          </w:tcPr>
          <w:p w14:paraId="3D296375"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r w:rsidR="007C0815" w14:paraId="4FFBDC9F" w14:textId="77777777" w:rsidTr="007C0815">
        <w:trPr>
          <w:jc w:val="center"/>
        </w:trPr>
        <w:tc>
          <w:tcPr>
            <w:tcW w:w="2044" w:type="pct"/>
            <w:tcBorders>
              <w:left w:val="single" w:sz="4" w:space="0" w:color="FFFFFF" w:themeColor="background1"/>
            </w:tcBorders>
            <w:shd w:val="clear" w:color="auto" w:fill="FFF2CC" w:themeFill="accent4" w:themeFillTint="33"/>
          </w:tcPr>
          <w:p w14:paraId="6A5EDE74" w14:textId="77777777" w:rsidR="007E098D" w:rsidRPr="0084778E" w:rsidRDefault="00000000" w:rsidP="00744DFA">
            <w:pPr>
              <w:pStyle w:val="NoSpacing"/>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Synthesizing new information</w:t>
            </w:r>
          </w:p>
        </w:tc>
        <w:tc>
          <w:tcPr>
            <w:tcW w:w="266" w:type="pct"/>
            <w:shd w:val="clear" w:color="auto" w:fill="FFF2CC" w:themeFill="accent4" w:themeFillTint="33"/>
            <w:vAlign w:val="center"/>
          </w:tcPr>
          <w:p w14:paraId="54890498"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2782301C"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487C636F"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66FF7B2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72257617" w14:textId="77777777" w:rsidR="007E098D"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Wingdings" w:hAnsi="Wingdings" w:cs="Times New Roman"/>
                <w:sz w:val="20"/>
                <w:szCs w:val="20"/>
                <w:shd w:val="clear" w:color="auto" w:fill="FFFFFF"/>
                <w:lang w:val="en-US" w:bidi="th-TH"/>
              </w:rPr>
              <w:sym w:font="Wingdings" w:char="F0FC"/>
            </w:r>
          </w:p>
        </w:tc>
        <w:tc>
          <w:tcPr>
            <w:tcW w:w="278" w:type="pct"/>
            <w:shd w:val="clear" w:color="auto" w:fill="FFF2CC" w:themeFill="accent4" w:themeFillTint="33"/>
            <w:vAlign w:val="center"/>
          </w:tcPr>
          <w:p w14:paraId="22303D27"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tcBorders>
              <w:right w:val="single" w:sz="4" w:space="0" w:color="FFFFFF" w:themeColor="background1"/>
            </w:tcBorders>
            <w:shd w:val="clear" w:color="auto" w:fill="FFF2CC" w:themeFill="accent4" w:themeFillTint="33"/>
            <w:vAlign w:val="center"/>
          </w:tcPr>
          <w:p w14:paraId="2FA6D11E"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8" w:type="pct"/>
            <w:shd w:val="clear" w:color="auto" w:fill="FFF2CC" w:themeFill="accent4" w:themeFillTint="33"/>
            <w:vAlign w:val="center"/>
          </w:tcPr>
          <w:p w14:paraId="2DB13E79"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277" w:type="pct"/>
            <w:tcBorders>
              <w:right w:val="single" w:sz="4" w:space="0" w:color="FFFFFF" w:themeColor="background1"/>
            </w:tcBorders>
            <w:shd w:val="clear" w:color="auto" w:fill="FFF2CC" w:themeFill="accent4" w:themeFillTint="33"/>
            <w:vAlign w:val="center"/>
          </w:tcPr>
          <w:p w14:paraId="03B661E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c>
          <w:tcPr>
            <w:tcW w:w="463" w:type="pct"/>
            <w:tcBorders>
              <w:right w:val="single" w:sz="4" w:space="0" w:color="FFFFFF" w:themeColor="background1"/>
            </w:tcBorders>
            <w:shd w:val="clear" w:color="auto" w:fill="FFF2CC" w:themeFill="accent4" w:themeFillTint="33"/>
            <w:vAlign w:val="center"/>
          </w:tcPr>
          <w:p w14:paraId="06D5B7E1" w14:textId="77777777" w:rsidR="007E098D" w:rsidRPr="0084778E" w:rsidRDefault="007E098D" w:rsidP="00744DFA">
            <w:pPr>
              <w:pStyle w:val="NoSpacing"/>
              <w:jc w:val="center"/>
              <w:rPr>
                <w:rFonts w:ascii="Times New Roman" w:hAnsi="Times New Roman" w:cs="Times New Roman"/>
                <w:sz w:val="20"/>
                <w:szCs w:val="20"/>
                <w:shd w:val="clear" w:color="auto" w:fill="FFFFFF"/>
                <w:lang w:val="en-US" w:bidi="th-TH"/>
              </w:rPr>
            </w:pPr>
          </w:p>
        </w:tc>
      </w:tr>
    </w:tbl>
    <w:p w14:paraId="0C4BAE36" w14:textId="77777777" w:rsidR="007E098D" w:rsidRPr="0084778E" w:rsidRDefault="007E098D" w:rsidP="00D6757F">
      <w:pPr>
        <w:widowControl w:val="0"/>
        <w:spacing w:line="360" w:lineRule="auto"/>
      </w:pPr>
    </w:p>
    <w:p w14:paraId="42C56E60" w14:textId="77777777" w:rsidR="007E098D" w:rsidRPr="0084778E" w:rsidRDefault="00000000" w:rsidP="007E098D">
      <w:pPr>
        <w:spacing w:line="360" w:lineRule="auto"/>
        <w:rPr>
          <w:rFonts w:cs="Times New Roman"/>
          <w:b/>
          <w:bCs/>
          <w:sz w:val="24"/>
          <w:szCs w:val="24"/>
        </w:rPr>
      </w:pPr>
      <w:r w:rsidRPr="0084778E">
        <w:rPr>
          <w:rFonts w:cs="Times New Roman"/>
          <w:b/>
          <w:bCs/>
          <w:sz w:val="24"/>
          <w:szCs w:val="24"/>
        </w:rPr>
        <w:t>Methods</w:t>
      </w:r>
    </w:p>
    <w:p w14:paraId="2B2836E9" w14:textId="77777777" w:rsidR="00A8570B" w:rsidRPr="0084778E" w:rsidRDefault="00A8570B" w:rsidP="007E098D">
      <w:pPr>
        <w:spacing w:line="360" w:lineRule="auto"/>
        <w:rPr>
          <w:rFonts w:cs="Times New Roman"/>
          <w:b/>
          <w:bCs/>
          <w:sz w:val="24"/>
          <w:szCs w:val="24"/>
        </w:rPr>
      </w:pPr>
    </w:p>
    <w:p w14:paraId="40CF60E9" w14:textId="77777777" w:rsidR="007E098D" w:rsidRPr="0084778E" w:rsidRDefault="00000000" w:rsidP="007E098D">
      <w:pPr>
        <w:adjustRightInd w:val="0"/>
        <w:snapToGrid w:val="0"/>
        <w:spacing w:line="360" w:lineRule="auto"/>
        <w:rPr>
          <w:rFonts w:eastAsia="Times New Roman" w:cs="Times New Roman"/>
          <w:snapToGrid w:val="0"/>
          <w:szCs w:val="20"/>
          <w:lang w:eastAsia="de-DE" w:bidi="en-US"/>
        </w:rPr>
      </w:pPr>
      <w:r w:rsidRPr="0084778E">
        <w:rPr>
          <w:rFonts w:eastAsia="Times New Roman" w:cs="Times New Roman"/>
          <w:snapToGrid w:val="0"/>
          <w:szCs w:val="20"/>
          <w:lang w:eastAsia="de-DE" w:bidi="en-US"/>
        </w:rPr>
        <w:t xml:space="preserve">The research methodology employed in this study encompasses two main approaches: </w:t>
      </w:r>
    </w:p>
    <w:p w14:paraId="6EC5A36F" w14:textId="77777777" w:rsidR="007E098D" w:rsidRPr="0084778E" w:rsidRDefault="007E098D" w:rsidP="007E098D">
      <w:pPr>
        <w:adjustRightInd w:val="0"/>
        <w:snapToGrid w:val="0"/>
        <w:spacing w:line="360" w:lineRule="auto"/>
        <w:rPr>
          <w:rFonts w:eastAsia="Times New Roman" w:cs="Times New Roman"/>
          <w:snapToGrid w:val="0"/>
          <w:szCs w:val="20"/>
          <w:lang w:eastAsia="de-DE" w:bidi="en-US"/>
        </w:rPr>
      </w:pPr>
    </w:p>
    <w:p w14:paraId="2F1BBC88" w14:textId="77777777" w:rsidR="007E098D" w:rsidRPr="0084778E" w:rsidRDefault="00000000" w:rsidP="007E098D">
      <w:pPr>
        <w:adjustRightInd w:val="0"/>
        <w:snapToGrid w:val="0"/>
        <w:spacing w:line="360" w:lineRule="auto"/>
        <w:rPr>
          <w:rFonts w:eastAsia="Times New Roman" w:cs="Times New Roman"/>
          <w:b/>
          <w:bCs/>
          <w:snapToGrid w:val="0"/>
          <w:szCs w:val="20"/>
          <w:lang w:eastAsia="de-DE" w:bidi="en-US"/>
        </w:rPr>
      </w:pPr>
      <w:r w:rsidRPr="0084778E">
        <w:rPr>
          <w:rFonts w:eastAsia="Times New Roman" w:cs="Times New Roman"/>
          <w:b/>
          <w:bCs/>
          <w:snapToGrid w:val="0"/>
          <w:szCs w:val="20"/>
          <w:lang w:eastAsia="de-DE" w:bidi="en-US"/>
        </w:rPr>
        <w:t xml:space="preserve">Studying </w:t>
      </w:r>
      <w:r w:rsidR="005827DB" w:rsidRPr="0084778E">
        <w:rPr>
          <w:rFonts w:eastAsia="Times New Roman" w:cs="Times New Roman"/>
          <w:b/>
          <w:bCs/>
          <w:snapToGrid w:val="0"/>
          <w:szCs w:val="20"/>
          <w:lang w:eastAsia="de-DE" w:bidi="en-US"/>
        </w:rPr>
        <w:t xml:space="preserve">High School Student </w:t>
      </w:r>
      <w:r w:rsidRPr="0084778E">
        <w:rPr>
          <w:rFonts w:eastAsia="Times New Roman" w:cs="Times New Roman"/>
          <w:b/>
          <w:bCs/>
          <w:snapToGrid w:val="0"/>
          <w:szCs w:val="20"/>
          <w:lang w:eastAsia="de-DE" w:bidi="en-US"/>
        </w:rPr>
        <w:t xml:space="preserve">(DIF) </w:t>
      </w:r>
      <w:r w:rsidR="005827DB" w:rsidRPr="0084778E">
        <w:rPr>
          <w:rFonts w:eastAsia="Times New Roman" w:cs="Times New Roman"/>
          <w:b/>
          <w:bCs/>
          <w:snapToGrid w:val="0"/>
          <w:szCs w:val="20"/>
          <w:lang w:eastAsia="de-DE" w:bidi="en-US"/>
        </w:rPr>
        <w:t>S</w:t>
      </w:r>
      <w:r w:rsidRPr="0084778E">
        <w:rPr>
          <w:rFonts w:eastAsia="Times New Roman" w:cs="Times New Roman"/>
          <w:b/>
          <w:bCs/>
          <w:snapToGrid w:val="0"/>
          <w:szCs w:val="20"/>
          <w:lang w:eastAsia="de-DE" w:bidi="en-US"/>
        </w:rPr>
        <w:t xml:space="preserve">kills </w:t>
      </w:r>
    </w:p>
    <w:p w14:paraId="561C73C3" w14:textId="77777777" w:rsidR="007E098D" w:rsidRPr="0084778E" w:rsidRDefault="007E098D" w:rsidP="007E098D">
      <w:pPr>
        <w:adjustRightInd w:val="0"/>
        <w:snapToGrid w:val="0"/>
        <w:spacing w:line="360" w:lineRule="auto"/>
        <w:rPr>
          <w:rFonts w:eastAsia="Times New Roman" w:cs="Times New Roman"/>
          <w:snapToGrid w:val="0"/>
          <w:szCs w:val="20"/>
          <w:lang w:eastAsia="de-DE" w:bidi="en-US"/>
        </w:rPr>
      </w:pPr>
    </w:p>
    <w:p w14:paraId="1C91EF30" w14:textId="77777777" w:rsidR="007E098D" w:rsidRPr="0084778E" w:rsidRDefault="00000000" w:rsidP="007E098D">
      <w:pPr>
        <w:adjustRightInd w:val="0"/>
        <w:snapToGrid w:val="0"/>
        <w:spacing w:line="360" w:lineRule="auto"/>
        <w:rPr>
          <w:rFonts w:eastAsia="Times New Roman" w:cs="Times New Roman"/>
          <w:snapToGrid w:val="0"/>
          <w:szCs w:val="20"/>
          <w:lang w:eastAsia="de-DE" w:bidi="en-US"/>
        </w:rPr>
      </w:pPr>
      <w:r w:rsidRPr="0084778E">
        <w:rPr>
          <w:rFonts w:eastAsia="Times New Roman" w:cs="Times New Roman"/>
          <w:snapToGrid w:val="0"/>
          <w:szCs w:val="20"/>
          <w:lang w:eastAsia="de-DE" w:bidi="en-US"/>
        </w:rPr>
        <w:t>The data sources for this aspect of the research include books, textbooks, and related research materials, followed by the analysis and synthesis of content using a document synthesis form. The data analysis method employed is content analysis.</w:t>
      </w:r>
    </w:p>
    <w:p w14:paraId="2591B4C5" w14:textId="77777777" w:rsidR="007E098D" w:rsidRPr="0084778E" w:rsidRDefault="007E098D" w:rsidP="007E098D">
      <w:pPr>
        <w:adjustRightInd w:val="0"/>
        <w:snapToGrid w:val="0"/>
        <w:spacing w:line="360" w:lineRule="auto"/>
        <w:rPr>
          <w:rFonts w:eastAsia="Times New Roman" w:cs="Times New Roman"/>
          <w:snapToGrid w:val="0"/>
          <w:szCs w:val="20"/>
          <w:lang w:eastAsia="de-DE" w:bidi="en-US"/>
        </w:rPr>
      </w:pPr>
    </w:p>
    <w:p w14:paraId="61D0A31C" w14:textId="30E4A06E" w:rsidR="007E098D" w:rsidRPr="0084778E" w:rsidRDefault="00F17873" w:rsidP="007E098D">
      <w:pPr>
        <w:adjustRightInd w:val="0"/>
        <w:snapToGrid w:val="0"/>
        <w:spacing w:line="360" w:lineRule="auto"/>
        <w:rPr>
          <w:rFonts w:eastAsia="Times New Roman" w:cs="Times New Roman"/>
          <w:b/>
          <w:bCs/>
          <w:snapToGrid w:val="0"/>
          <w:szCs w:val="20"/>
          <w:lang w:eastAsia="de-DE" w:bidi="en-US"/>
        </w:rPr>
      </w:pPr>
      <w:r>
        <w:rPr>
          <w:rFonts w:eastAsia="Times New Roman" w:cs="Times New Roman"/>
          <w:b/>
          <w:bCs/>
          <w:snapToGrid w:val="0"/>
          <w:szCs w:val="20"/>
          <w:lang w:eastAsia="de-DE" w:bidi="en-US"/>
        </w:rPr>
        <w:t>Population and Sample Size</w:t>
      </w:r>
    </w:p>
    <w:p w14:paraId="1C0E5632" w14:textId="77777777" w:rsidR="007E098D" w:rsidRPr="0084778E" w:rsidRDefault="007E098D" w:rsidP="007E098D">
      <w:pPr>
        <w:adjustRightInd w:val="0"/>
        <w:snapToGrid w:val="0"/>
        <w:spacing w:line="360" w:lineRule="auto"/>
        <w:rPr>
          <w:rFonts w:eastAsia="Times New Roman" w:cs="Times New Roman"/>
          <w:snapToGrid w:val="0"/>
          <w:szCs w:val="20"/>
          <w:lang w:eastAsia="de-DE" w:bidi="en-US"/>
        </w:rPr>
      </w:pPr>
    </w:p>
    <w:p w14:paraId="6D0D7AA7" w14:textId="77777777" w:rsidR="007E098D" w:rsidRPr="007C22BF" w:rsidRDefault="00000000" w:rsidP="007E098D">
      <w:pPr>
        <w:adjustRightInd w:val="0"/>
        <w:snapToGrid w:val="0"/>
        <w:spacing w:line="360" w:lineRule="auto"/>
        <w:rPr>
          <w:rFonts w:eastAsia="Times New Roman" w:cs="Times New Roman"/>
          <w:snapToGrid w:val="0"/>
          <w:szCs w:val="20"/>
          <w:lang w:eastAsia="de-DE" w:bidi="en-US"/>
        </w:rPr>
      </w:pPr>
      <w:r w:rsidRPr="0084778E">
        <w:rPr>
          <w:rFonts w:eastAsia="Times New Roman" w:cs="Times New Roman"/>
          <w:snapToGrid w:val="0"/>
          <w:szCs w:val="20"/>
          <w:lang w:eastAsia="de-DE" w:bidi="en-US"/>
        </w:rPr>
        <w:t xml:space="preserve">This section begins with a description of the population and sample size. The population under study comprises technology teachers at the high school level during the academic year 2023, across schools under the </w:t>
      </w:r>
      <w:r w:rsidRPr="0084778E">
        <w:rPr>
          <w:rFonts w:cs="Times New Roman"/>
          <w:szCs w:val="20"/>
        </w:rPr>
        <w:t xml:space="preserve">supervision </w:t>
      </w:r>
      <w:r w:rsidRPr="0084778E">
        <w:rPr>
          <w:rFonts w:cs="Times New Roman"/>
          <w:szCs w:val="20"/>
        </w:rPr>
        <w:lastRenderedPageBreak/>
        <w:t>of the Office of the Basic Education Commission</w:t>
      </w:r>
      <w:r w:rsidRPr="0084778E">
        <w:rPr>
          <w:rFonts w:eastAsia="Times New Roman" w:cs="Times New Roman"/>
          <w:snapToGrid w:val="0"/>
          <w:szCs w:val="20"/>
          <w:lang w:eastAsia="de-DE" w:bidi="en-US"/>
        </w:rPr>
        <w:t xml:space="preserve"> (OBEC) </w:t>
      </w:r>
      <w:r w:rsidRPr="0084778E">
        <w:rPr>
          <w:rFonts w:cs="Times New Roman"/>
          <w:szCs w:val="20"/>
        </w:rPr>
        <w:t xml:space="preserve">Secondary </w:t>
      </w:r>
      <w:r w:rsidRPr="007C22BF">
        <w:rPr>
          <w:rFonts w:cs="Times New Roman"/>
          <w:szCs w:val="20"/>
        </w:rPr>
        <w:t xml:space="preserve">Educational Service Area Offices (SEAOs). </w:t>
      </w:r>
      <w:r w:rsidRPr="007C22BF">
        <w:rPr>
          <w:rFonts w:eastAsia="Times New Roman" w:cs="Times New Roman"/>
          <w:snapToGrid w:val="0"/>
          <w:szCs w:val="20"/>
          <w:lang w:eastAsia="de-DE" w:bidi="en-US"/>
        </w:rPr>
        <w:t xml:space="preserve">According to the Individual Student Data Collection System (2023), the population consisted of 2,360 individuals. The sample size chosen was 400 individuals, according to Costello and Osborne's (2019) recommendation that the ratio of the sample group to the number of parameters or observable variables should not be less than 10-20 times per 1 observed variable. Since there are 11 observable variables in this research, the sample size was set at more than 30 times the observed variables. </w:t>
      </w:r>
    </w:p>
    <w:p w14:paraId="3927453D" w14:textId="77777777" w:rsidR="007E098D" w:rsidRPr="007C22BF" w:rsidRDefault="007E098D" w:rsidP="007E098D">
      <w:pPr>
        <w:adjustRightInd w:val="0"/>
        <w:snapToGrid w:val="0"/>
        <w:spacing w:line="360" w:lineRule="auto"/>
        <w:rPr>
          <w:rFonts w:eastAsia="Times New Roman" w:cs="Times New Roman"/>
          <w:snapToGrid w:val="0"/>
          <w:szCs w:val="20"/>
          <w:lang w:eastAsia="de-DE" w:bidi="en-US"/>
        </w:rPr>
      </w:pPr>
    </w:p>
    <w:p w14:paraId="329816A5" w14:textId="77777777" w:rsidR="007E098D" w:rsidRPr="0084778E" w:rsidRDefault="00000000" w:rsidP="007E098D">
      <w:pPr>
        <w:adjustRightInd w:val="0"/>
        <w:snapToGrid w:val="0"/>
        <w:spacing w:line="360" w:lineRule="auto"/>
        <w:rPr>
          <w:rFonts w:eastAsia="Times New Roman" w:cs="Times New Roman"/>
          <w:snapToGrid w:val="0"/>
          <w:szCs w:val="20"/>
          <w:lang w:eastAsia="de-DE" w:bidi="en-US"/>
        </w:rPr>
      </w:pPr>
      <w:r w:rsidRPr="007C22BF">
        <w:rPr>
          <w:rFonts w:eastAsia="Times New Roman" w:cs="Times New Roman"/>
          <w:snapToGrid w:val="0"/>
          <w:szCs w:val="20"/>
          <w:lang w:eastAsia="de-DE" w:bidi="en-US"/>
        </w:rPr>
        <w:t>The sampling method employed used multi-stage random sampling, consisting of</w:t>
      </w:r>
      <w:r w:rsidRPr="0084778E">
        <w:rPr>
          <w:rFonts w:eastAsia="Times New Roman" w:cs="Times New Roman"/>
          <w:snapToGrid w:val="0"/>
          <w:szCs w:val="20"/>
          <w:lang w:eastAsia="de-DE" w:bidi="en-US"/>
        </w:rPr>
        <w:t xml:space="preserve"> three stages:</w:t>
      </w:r>
    </w:p>
    <w:p w14:paraId="0FA9777C" w14:textId="77777777" w:rsidR="007E098D" w:rsidRPr="0084778E" w:rsidRDefault="00000000" w:rsidP="007E098D">
      <w:pPr>
        <w:adjustRightInd w:val="0"/>
        <w:snapToGrid w:val="0"/>
        <w:spacing w:line="360" w:lineRule="auto"/>
        <w:rPr>
          <w:rFonts w:eastAsia="Times New Roman" w:cs="Times New Roman"/>
          <w:snapToGrid w:val="0"/>
          <w:szCs w:val="20"/>
          <w:lang w:eastAsia="de-DE" w:bidi="en-US"/>
        </w:rPr>
      </w:pPr>
      <w:r w:rsidRPr="0084778E">
        <w:rPr>
          <w:rFonts w:eastAsia="Times New Roman" w:cs="Times New Roman"/>
          <w:snapToGrid w:val="0"/>
          <w:szCs w:val="20"/>
          <w:lang w:eastAsia="de-DE" w:bidi="en-US"/>
        </w:rPr>
        <w:t>1. Stratified random sampling by randomly selecting OBEC SEAOs from four geographic regions to ensure a representative sample.</w:t>
      </w:r>
    </w:p>
    <w:p w14:paraId="735984B8" w14:textId="77777777" w:rsidR="007E098D" w:rsidRPr="0084778E" w:rsidRDefault="00000000" w:rsidP="007E098D">
      <w:pPr>
        <w:adjustRightInd w:val="0"/>
        <w:snapToGrid w:val="0"/>
        <w:spacing w:line="360" w:lineRule="auto"/>
        <w:rPr>
          <w:rFonts w:eastAsia="Times New Roman" w:cs="Times New Roman"/>
          <w:snapToGrid w:val="0"/>
          <w:szCs w:val="20"/>
          <w:lang w:eastAsia="de-DE" w:bidi="en-US"/>
        </w:rPr>
      </w:pPr>
      <w:r w:rsidRPr="0084778E">
        <w:rPr>
          <w:rFonts w:eastAsia="Times New Roman" w:cs="Times New Roman"/>
          <w:snapToGrid w:val="0"/>
          <w:szCs w:val="20"/>
          <w:lang w:eastAsia="de-DE" w:bidi="en-US"/>
        </w:rPr>
        <w:t>2. Simple random sampling from the selected SEAOs, with not less than 50% of the number of SEAOs offering instruction at the regional level included in the sample.</w:t>
      </w:r>
    </w:p>
    <w:p w14:paraId="4C457B48" w14:textId="77777777" w:rsidR="007E098D" w:rsidRPr="0084778E" w:rsidRDefault="00000000" w:rsidP="007E098D">
      <w:pPr>
        <w:adjustRightInd w:val="0"/>
        <w:snapToGrid w:val="0"/>
        <w:spacing w:line="360" w:lineRule="auto"/>
        <w:rPr>
          <w:rFonts w:eastAsia="Times New Roman" w:cs="Times New Roman"/>
          <w:snapToGrid w:val="0"/>
          <w:szCs w:val="20"/>
          <w:lang w:eastAsia="de-DE" w:bidi="en-US"/>
        </w:rPr>
      </w:pPr>
      <w:r w:rsidRPr="0084778E">
        <w:rPr>
          <w:rFonts w:eastAsia="Times New Roman" w:cs="Times New Roman"/>
          <w:snapToGrid w:val="0"/>
          <w:szCs w:val="20"/>
          <w:lang w:eastAsia="de-DE" w:bidi="en-US"/>
        </w:rPr>
        <w:t>3. Simple random sampling of technology subject teachers from the 33 selected schools, classified by region.</w:t>
      </w:r>
    </w:p>
    <w:p w14:paraId="20975D7D" w14:textId="77777777" w:rsidR="007E098D" w:rsidRPr="0084778E" w:rsidRDefault="007E098D" w:rsidP="007E098D">
      <w:pPr>
        <w:adjustRightInd w:val="0"/>
        <w:snapToGrid w:val="0"/>
        <w:spacing w:line="360" w:lineRule="auto"/>
        <w:rPr>
          <w:rFonts w:eastAsia="Times New Roman" w:cs="Times New Roman"/>
          <w:snapToGrid w:val="0"/>
          <w:szCs w:val="20"/>
          <w:lang w:eastAsia="de-DE" w:bidi="en-US"/>
        </w:rPr>
      </w:pPr>
    </w:p>
    <w:p w14:paraId="69EA4033" w14:textId="2B146C94" w:rsidR="007E098D" w:rsidRPr="0084778E" w:rsidRDefault="00000000" w:rsidP="007E098D">
      <w:pPr>
        <w:adjustRightInd w:val="0"/>
        <w:snapToGrid w:val="0"/>
        <w:spacing w:line="360" w:lineRule="auto"/>
        <w:rPr>
          <w:rFonts w:eastAsia="Times New Roman" w:cs="Times New Roman"/>
          <w:snapToGrid w:val="0"/>
          <w:szCs w:val="20"/>
          <w:lang w:eastAsia="de-DE" w:bidi="en-US"/>
        </w:rPr>
      </w:pPr>
      <w:r w:rsidRPr="0084778E">
        <w:rPr>
          <w:rFonts w:eastAsia="Times New Roman" w:cs="Times New Roman"/>
          <w:snapToGrid w:val="0"/>
          <w:szCs w:val="20"/>
          <w:lang w:eastAsia="de-DE" w:bidi="en-US"/>
        </w:rPr>
        <w:t xml:space="preserve">Table </w:t>
      </w:r>
      <w:r w:rsidR="00DC2ABC">
        <w:rPr>
          <w:rFonts w:eastAsia="Times New Roman" w:cs="Times New Roman"/>
          <w:snapToGrid w:val="0"/>
          <w:szCs w:val="20"/>
          <w:lang w:eastAsia="de-DE" w:bidi="en-US"/>
        </w:rPr>
        <w:t>2</w:t>
      </w:r>
      <w:r w:rsidRPr="0084778E">
        <w:rPr>
          <w:rFonts w:eastAsia="Times New Roman" w:cs="Times New Roman"/>
          <w:snapToGrid w:val="0"/>
          <w:szCs w:val="20"/>
          <w:lang w:eastAsia="de-DE" w:bidi="en-US"/>
        </w:rPr>
        <w:t xml:space="preserve"> provides a breakdown of the sampling by region, SEAOs, and teachers, detailing the targeted and actual sample sizes for each category. The regions include Northern, Central, Eastern, Northeast, and Southern, with corresponding populations and sample groups for SEAOs and teachers, demonstrating the distribution of the sample across different geographic areas.</w:t>
      </w:r>
    </w:p>
    <w:p w14:paraId="5AADE2C8" w14:textId="77777777" w:rsidR="007E098D" w:rsidRPr="0084778E" w:rsidRDefault="007E098D" w:rsidP="007E098D">
      <w:pPr>
        <w:widowControl w:val="0"/>
        <w:spacing w:line="360" w:lineRule="auto"/>
      </w:pPr>
    </w:p>
    <w:p w14:paraId="5BE1EEF7" w14:textId="77777777" w:rsidR="00A8570B" w:rsidRPr="0084778E" w:rsidRDefault="00000000" w:rsidP="00A8570B">
      <w:pPr>
        <w:adjustRightInd w:val="0"/>
        <w:snapToGrid w:val="0"/>
        <w:spacing w:line="360" w:lineRule="auto"/>
        <w:jc w:val="center"/>
        <w:rPr>
          <w:rFonts w:eastAsia="Times New Roman" w:cs="Times New Roman"/>
          <w:i/>
          <w:iCs/>
          <w:snapToGrid w:val="0"/>
          <w:szCs w:val="20"/>
          <w:lang w:eastAsia="de-DE" w:bidi="en-US"/>
        </w:rPr>
      </w:pPr>
      <w:r w:rsidRPr="0084778E">
        <w:rPr>
          <w:rFonts w:eastAsia="Times New Roman" w:cs="Times New Roman"/>
          <w:snapToGrid w:val="0"/>
          <w:szCs w:val="20"/>
          <w:lang w:eastAsia="de-DE" w:bidi="en-US"/>
        </w:rPr>
        <w:t>Table 2.</w:t>
      </w:r>
      <w:r w:rsidRPr="0084778E">
        <w:rPr>
          <w:rFonts w:eastAsia="Times New Roman" w:cs="Times New Roman"/>
          <w:b/>
          <w:bCs/>
          <w:snapToGrid w:val="0"/>
          <w:szCs w:val="20"/>
          <w:lang w:eastAsia="de-DE" w:bidi="en-US"/>
        </w:rPr>
        <w:t xml:space="preserve"> </w:t>
      </w:r>
      <w:r w:rsidRPr="0084778E">
        <w:rPr>
          <w:rFonts w:eastAsia="Times New Roman" w:cs="Times New Roman"/>
          <w:i/>
          <w:iCs/>
          <w:snapToGrid w:val="0"/>
          <w:szCs w:val="20"/>
          <w:lang w:eastAsia="de-DE" w:bidi="en-US"/>
        </w:rPr>
        <w:t>Sampling Breakdown by Regions, SEAOs, and Teachers</w:t>
      </w:r>
    </w:p>
    <w:tbl>
      <w:tblPr>
        <w:tblStyle w:val="1"/>
        <w:tblW w:w="415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88"/>
        <w:gridCol w:w="994"/>
        <w:gridCol w:w="1022"/>
        <w:gridCol w:w="994"/>
        <w:gridCol w:w="1022"/>
        <w:gridCol w:w="770"/>
      </w:tblGrid>
      <w:tr w:rsidR="00FE5EC8" w14:paraId="1C093E90" w14:textId="77777777" w:rsidTr="00A8570B">
        <w:trPr>
          <w:jc w:val="center"/>
        </w:trPr>
        <w:tc>
          <w:tcPr>
            <w:tcW w:w="1205" w:type="pct"/>
            <w:vMerge w:val="restart"/>
            <w:tcBorders>
              <w:top w:val="single" w:sz="4" w:space="0" w:color="auto"/>
              <w:bottom w:val="nil"/>
            </w:tcBorders>
            <w:shd w:val="clear" w:color="auto" w:fill="auto"/>
            <w:vAlign w:val="center"/>
          </w:tcPr>
          <w:p w14:paraId="0599718B" w14:textId="77777777" w:rsidR="00A8570B" w:rsidRPr="0084778E" w:rsidRDefault="00000000" w:rsidP="00A8570B">
            <w:pPr>
              <w:jc w:val="center"/>
              <w:rPr>
                <w:rFonts w:eastAsia="Times New Roman" w:cs="Times New Roman"/>
                <w:b/>
                <w:bCs/>
                <w:cs/>
                <w:lang w:val="en-AU"/>
              </w:rPr>
            </w:pPr>
            <w:r w:rsidRPr="0084778E">
              <w:rPr>
                <w:rFonts w:eastAsia="Times New Roman" w:cs="Times New Roman"/>
                <w:b/>
                <w:bCs/>
                <w:lang w:val="en-AU"/>
              </w:rPr>
              <w:t>Survey Region</w:t>
            </w:r>
          </w:p>
        </w:tc>
        <w:tc>
          <w:tcPr>
            <w:tcW w:w="1254" w:type="pct"/>
            <w:gridSpan w:val="2"/>
            <w:vMerge w:val="restart"/>
            <w:tcBorders>
              <w:top w:val="single" w:sz="4" w:space="0" w:color="auto"/>
              <w:bottom w:val="nil"/>
            </w:tcBorders>
            <w:shd w:val="clear" w:color="auto" w:fill="auto"/>
            <w:vAlign w:val="center"/>
          </w:tcPr>
          <w:p w14:paraId="6AA5A5FA" w14:textId="77777777" w:rsidR="00A8570B" w:rsidRPr="0084778E" w:rsidRDefault="00000000" w:rsidP="00A8570B">
            <w:pPr>
              <w:jc w:val="center"/>
              <w:rPr>
                <w:rFonts w:eastAsia="Times New Roman" w:cs="Times New Roman"/>
                <w:b/>
                <w:bCs/>
                <w:cs/>
                <w:lang w:val="en-AU"/>
              </w:rPr>
            </w:pPr>
            <w:r w:rsidRPr="0084778E">
              <w:rPr>
                <w:rFonts w:eastAsia="Times New Roman" w:cs="Times New Roman"/>
                <w:b/>
                <w:bCs/>
                <w:lang w:val="en-AU"/>
              </w:rPr>
              <w:t>Population</w:t>
            </w:r>
          </w:p>
        </w:tc>
        <w:tc>
          <w:tcPr>
            <w:tcW w:w="2541" w:type="pct"/>
            <w:gridSpan w:val="4"/>
            <w:tcBorders>
              <w:top w:val="single" w:sz="4" w:space="0" w:color="auto"/>
              <w:bottom w:val="nil"/>
            </w:tcBorders>
            <w:shd w:val="clear" w:color="auto" w:fill="auto"/>
            <w:vAlign w:val="center"/>
          </w:tcPr>
          <w:p w14:paraId="6FDD68C5" w14:textId="77777777" w:rsidR="00A8570B" w:rsidRPr="0084778E" w:rsidRDefault="00000000" w:rsidP="00A8570B">
            <w:pPr>
              <w:jc w:val="center"/>
              <w:rPr>
                <w:rFonts w:eastAsia="Times New Roman" w:cs="Times New Roman"/>
                <w:cs/>
                <w:lang w:val="en-AU"/>
              </w:rPr>
            </w:pPr>
            <w:r w:rsidRPr="0084778E">
              <w:rPr>
                <w:rFonts w:eastAsia="Times New Roman" w:cs="Times New Roman"/>
                <w:b/>
                <w:bCs/>
                <w:lang w:val="en-AU"/>
              </w:rPr>
              <w:t>Sample Groups</w:t>
            </w:r>
          </w:p>
        </w:tc>
      </w:tr>
      <w:tr w:rsidR="00FE5EC8" w14:paraId="1EE49261" w14:textId="77777777" w:rsidTr="00A8570B">
        <w:trPr>
          <w:jc w:val="center"/>
        </w:trPr>
        <w:tc>
          <w:tcPr>
            <w:tcW w:w="1205" w:type="pct"/>
            <w:vMerge/>
            <w:tcBorders>
              <w:top w:val="nil"/>
              <w:bottom w:val="nil"/>
            </w:tcBorders>
            <w:shd w:val="clear" w:color="auto" w:fill="auto"/>
            <w:vAlign w:val="center"/>
          </w:tcPr>
          <w:p w14:paraId="29B1CA7E" w14:textId="77777777" w:rsidR="00A8570B" w:rsidRPr="0084778E" w:rsidRDefault="00A8570B" w:rsidP="00A8570B">
            <w:pPr>
              <w:jc w:val="thaiDistribute"/>
              <w:rPr>
                <w:rFonts w:eastAsia="Times New Roman" w:cs="Times New Roman"/>
                <w:cs/>
                <w:lang w:val="en-AU"/>
              </w:rPr>
            </w:pPr>
          </w:p>
        </w:tc>
        <w:tc>
          <w:tcPr>
            <w:tcW w:w="1254" w:type="pct"/>
            <w:gridSpan w:val="2"/>
            <w:vMerge/>
            <w:tcBorders>
              <w:top w:val="nil"/>
              <w:bottom w:val="nil"/>
            </w:tcBorders>
            <w:shd w:val="clear" w:color="auto" w:fill="auto"/>
            <w:vAlign w:val="center"/>
          </w:tcPr>
          <w:p w14:paraId="24B215BF" w14:textId="77777777" w:rsidR="00A8570B" w:rsidRPr="0084778E" w:rsidRDefault="00A8570B" w:rsidP="00A8570B">
            <w:pPr>
              <w:jc w:val="center"/>
              <w:rPr>
                <w:rFonts w:eastAsia="Times New Roman" w:cs="Times New Roman"/>
                <w:b/>
                <w:bCs/>
                <w:cs/>
                <w:lang w:val="en-AU"/>
              </w:rPr>
            </w:pPr>
          </w:p>
        </w:tc>
        <w:tc>
          <w:tcPr>
            <w:tcW w:w="1343" w:type="pct"/>
            <w:gridSpan w:val="2"/>
            <w:tcBorders>
              <w:top w:val="nil"/>
              <w:bottom w:val="nil"/>
            </w:tcBorders>
            <w:shd w:val="clear" w:color="auto" w:fill="auto"/>
            <w:vAlign w:val="center"/>
          </w:tcPr>
          <w:p w14:paraId="5EF90F49" w14:textId="77777777" w:rsidR="00A8570B" w:rsidRPr="0084778E" w:rsidRDefault="00000000" w:rsidP="00A8570B">
            <w:pPr>
              <w:jc w:val="center"/>
              <w:rPr>
                <w:rFonts w:eastAsia="Times New Roman" w:cs="Times New Roman"/>
                <w:b/>
                <w:bCs/>
                <w:cs/>
                <w:lang w:val="en-AU"/>
              </w:rPr>
            </w:pPr>
            <w:r w:rsidRPr="0084778E">
              <w:rPr>
                <w:rFonts w:eastAsia="Times New Roman" w:cs="Times New Roman"/>
                <w:b/>
                <w:bCs/>
                <w:lang w:val="en-AU"/>
              </w:rPr>
              <w:t>Number Targeted</w:t>
            </w:r>
          </w:p>
        </w:tc>
        <w:tc>
          <w:tcPr>
            <w:tcW w:w="1197" w:type="pct"/>
            <w:gridSpan w:val="2"/>
            <w:tcBorders>
              <w:top w:val="nil"/>
              <w:bottom w:val="nil"/>
            </w:tcBorders>
            <w:shd w:val="clear" w:color="auto" w:fill="auto"/>
            <w:vAlign w:val="center"/>
          </w:tcPr>
          <w:p w14:paraId="13CC47A0" w14:textId="77777777" w:rsidR="00A8570B" w:rsidRPr="0084778E" w:rsidRDefault="00000000" w:rsidP="00A8570B">
            <w:pPr>
              <w:jc w:val="center"/>
              <w:rPr>
                <w:rFonts w:eastAsia="Times New Roman" w:cs="Times New Roman"/>
                <w:b/>
                <w:bCs/>
                <w:cs/>
                <w:lang w:val="en-AU"/>
              </w:rPr>
            </w:pPr>
            <w:r w:rsidRPr="0084778E">
              <w:rPr>
                <w:rFonts w:eastAsia="Times New Roman" w:cs="Times New Roman"/>
                <w:b/>
                <w:bCs/>
                <w:lang w:val="en-AU"/>
              </w:rPr>
              <w:t>Actual Sample</w:t>
            </w:r>
          </w:p>
        </w:tc>
      </w:tr>
      <w:tr w:rsidR="00FE5EC8" w14:paraId="636E11D2" w14:textId="77777777" w:rsidTr="00A8570B">
        <w:trPr>
          <w:jc w:val="center"/>
        </w:trPr>
        <w:tc>
          <w:tcPr>
            <w:tcW w:w="1205" w:type="pct"/>
            <w:vMerge/>
            <w:tcBorders>
              <w:top w:val="nil"/>
              <w:bottom w:val="single" w:sz="4" w:space="0" w:color="auto"/>
            </w:tcBorders>
            <w:shd w:val="clear" w:color="auto" w:fill="auto"/>
            <w:vAlign w:val="center"/>
          </w:tcPr>
          <w:p w14:paraId="41D05121" w14:textId="77777777" w:rsidR="00A8570B" w:rsidRPr="0084778E" w:rsidRDefault="00A8570B" w:rsidP="00A8570B">
            <w:pPr>
              <w:jc w:val="thaiDistribute"/>
              <w:rPr>
                <w:rFonts w:eastAsia="Times New Roman" w:cs="Times New Roman"/>
                <w:cs/>
                <w:lang w:val="en-AU"/>
              </w:rPr>
            </w:pPr>
          </w:p>
        </w:tc>
        <w:tc>
          <w:tcPr>
            <w:tcW w:w="594" w:type="pct"/>
            <w:tcBorders>
              <w:top w:val="nil"/>
              <w:bottom w:val="single" w:sz="4" w:space="0" w:color="auto"/>
            </w:tcBorders>
            <w:shd w:val="clear" w:color="auto" w:fill="auto"/>
            <w:vAlign w:val="center"/>
          </w:tcPr>
          <w:p w14:paraId="6FC53A2C" w14:textId="77777777" w:rsidR="00A8570B" w:rsidRPr="0084778E" w:rsidRDefault="00000000" w:rsidP="00A8570B">
            <w:pPr>
              <w:jc w:val="center"/>
              <w:rPr>
                <w:rFonts w:eastAsia="Times New Roman" w:cs="Times New Roman"/>
                <w:b/>
                <w:bCs/>
                <w:lang w:val="en-AU"/>
              </w:rPr>
            </w:pPr>
            <w:r w:rsidRPr="0084778E">
              <w:rPr>
                <w:rFonts w:eastAsia="Times New Roman" w:cs="Times New Roman"/>
                <w:b/>
                <w:bCs/>
                <w:lang w:val="en-AU"/>
              </w:rPr>
              <w:t>SEAOs</w:t>
            </w:r>
          </w:p>
        </w:tc>
        <w:tc>
          <w:tcPr>
            <w:tcW w:w="660" w:type="pct"/>
            <w:tcBorders>
              <w:top w:val="nil"/>
              <w:bottom w:val="single" w:sz="4" w:space="0" w:color="auto"/>
            </w:tcBorders>
            <w:shd w:val="clear" w:color="auto" w:fill="auto"/>
            <w:vAlign w:val="center"/>
          </w:tcPr>
          <w:p w14:paraId="7C55AC5B" w14:textId="77777777" w:rsidR="00A8570B" w:rsidRPr="0084778E" w:rsidRDefault="00000000" w:rsidP="00A8570B">
            <w:pPr>
              <w:rPr>
                <w:rFonts w:eastAsia="Times New Roman" w:cs="Times New Roman"/>
                <w:b/>
                <w:bCs/>
                <w:cs/>
                <w:lang w:val="en-AU"/>
              </w:rPr>
            </w:pPr>
            <w:r w:rsidRPr="0084778E">
              <w:rPr>
                <w:rFonts w:eastAsia="Times New Roman" w:cs="Times New Roman"/>
                <w:b/>
                <w:bCs/>
                <w:lang w:val="en-AU"/>
              </w:rPr>
              <w:t>Teachers</w:t>
            </w:r>
          </w:p>
        </w:tc>
        <w:tc>
          <w:tcPr>
            <w:tcW w:w="683" w:type="pct"/>
            <w:tcBorders>
              <w:top w:val="nil"/>
              <w:bottom w:val="single" w:sz="4" w:space="0" w:color="auto"/>
            </w:tcBorders>
            <w:shd w:val="clear" w:color="auto" w:fill="auto"/>
            <w:vAlign w:val="center"/>
          </w:tcPr>
          <w:p w14:paraId="7DC2215B" w14:textId="77777777" w:rsidR="00A8570B" w:rsidRPr="0084778E" w:rsidRDefault="00000000" w:rsidP="00A8570B">
            <w:pPr>
              <w:jc w:val="center"/>
              <w:rPr>
                <w:rFonts w:eastAsia="Times New Roman" w:cs="Times New Roman"/>
                <w:cs/>
                <w:lang w:val="en-AU"/>
              </w:rPr>
            </w:pPr>
            <w:r w:rsidRPr="0084778E">
              <w:rPr>
                <w:rFonts w:eastAsia="Times New Roman" w:cs="Times New Roman"/>
                <w:b/>
                <w:bCs/>
                <w:lang w:val="en-AU"/>
              </w:rPr>
              <w:t>SEAOs</w:t>
            </w:r>
          </w:p>
        </w:tc>
        <w:tc>
          <w:tcPr>
            <w:tcW w:w="660" w:type="pct"/>
            <w:tcBorders>
              <w:top w:val="nil"/>
              <w:bottom w:val="single" w:sz="4" w:space="0" w:color="auto"/>
            </w:tcBorders>
            <w:shd w:val="clear" w:color="auto" w:fill="auto"/>
            <w:vAlign w:val="center"/>
          </w:tcPr>
          <w:p w14:paraId="1B869B78" w14:textId="77777777" w:rsidR="00A8570B" w:rsidRPr="0084778E" w:rsidRDefault="00000000" w:rsidP="00A8570B">
            <w:pPr>
              <w:jc w:val="center"/>
              <w:rPr>
                <w:rFonts w:eastAsia="Times New Roman" w:cs="Times New Roman"/>
                <w:lang w:val="en-AU"/>
              </w:rPr>
            </w:pPr>
            <w:r w:rsidRPr="0084778E">
              <w:rPr>
                <w:rFonts w:eastAsia="Times New Roman" w:cs="Times New Roman"/>
                <w:b/>
                <w:bCs/>
                <w:lang w:val="en-AU"/>
              </w:rPr>
              <w:t>Teachers</w:t>
            </w:r>
          </w:p>
        </w:tc>
        <w:tc>
          <w:tcPr>
            <w:tcW w:w="683" w:type="pct"/>
            <w:tcBorders>
              <w:top w:val="nil"/>
              <w:bottom w:val="single" w:sz="4" w:space="0" w:color="auto"/>
            </w:tcBorders>
            <w:shd w:val="clear" w:color="auto" w:fill="auto"/>
            <w:vAlign w:val="center"/>
          </w:tcPr>
          <w:p w14:paraId="1607045E" w14:textId="77777777" w:rsidR="00A8570B" w:rsidRPr="0084778E" w:rsidRDefault="00000000" w:rsidP="00A8570B">
            <w:pPr>
              <w:jc w:val="center"/>
              <w:rPr>
                <w:rFonts w:eastAsia="Times New Roman" w:cs="Times New Roman"/>
                <w:b/>
                <w:bCs/>
                <w:cs/>
                <w:lang w:val="en-AU"/>
              </w:rPr>
            </w:pPr>
            <w:r w:rsidRPr="0084778E">
              <w:rPr>
                <w:rFonts w:eastAsia="Times New Roman" w:cs="Times New Roman"/>
                <w:b/>
                <w:bCs/>
                <w:lang w:val="en-AU"/>
              </w:rPr>
              <w:t>Teachers</w:t>
            </w:r>
          </w:p>
        </w:tc>
        <w:tc>
          <w:tcPr>
            <w:tcW w:w="514" w:type="pct"/>
            <w:tcBorders>
              <w:top w:val="nil"/>
              <w:bottom w:val="single" w:sz="4" w:space="0" w:color="auto"/>
            </w:tcBorders>
            <w:shd w:val="clear" w:color="auto" w:fill="auto"/>
            <w:vAlign w:val="center"/>
          </w:tcPr>
          <w:p w14:paraId="263F3F59" w14:textId="77777777" w:rsidR="00A8570B" w:rsidRPr="0084778E" w:rsidRDefault="00000000" w:rsidP="00A8570B">
            <w:pPr>
              <w:jc w:val="center"/>
              <w:rPr>
                <w:rFonts w:eastAsia="Times New Roman" w:cs="Times New Roman"/>
                <w:b/>
                <w:bCs/>
                <w:lang w:val="en-AU"/>
              </w:rPr>
            </w:pPr>
            <w:r w:rsidRPr="0084778E">
              <w:rPr>
                <w:rFonts w:eastAsia="Times New Roman" w:cs="Times New Roman"/>
                <w:lang w:val="en-AU"/>
              </w:rPr>
              <w:t>%</w:t>
            </w:r>
          </w:p>
        </w:tc>
      </w:tr>
      <w:tr w:rsidR="00FE5EC8" w14:paraId="1E35CABD" w14:textId="77777777" w:rsidTr="00A8570B">
        <w:trPr>
          <w:jc w:val="center"/>
        </w:trPr>
        <w:tc>
          <w:tcPr>
            <w:tcW w:w="1205" w:type="pct"/>
            <w:tcBorders>
              <w:top w:val="single" w:sz="4" w:space="0" w:color="auto"/>
            </w:tcBorders>
            <w:shd w:val="clear" w:color="auto" w:fill="auto"/>
            <w:vAlign w:val="center"/>
          </w:tcPr>
          <w:p w14:paraId="10AE92FD" w14:textId="77777777" w:rsidR="00A8570B" w:rsidRPr="0084778E" w:rsidRDefault="00000000" w:rsidP="00A8570B">
            <w:pPr>
              <w:jc w:val="left"/>
              <w:rPr>
                <w:rFonts w:eastAsia="Times New Roman" w:cs="Times New Roman"/>
                <w:b/>
                <w:bCs/>
                <w:lang w:val="en-AU"/>
              </w:rPr>
            </w:pPr>
            <w:r w:rsidRPr="0084778E">
              <w:rPr>
                <w:rFonts w:eastAsia="Times New Roman" w:cs="Times New Roman"/>
                <w:b/>
                <w:bCs/>
                <w:lang w:val="en-AU"/>
              </w:rPr>
              <w:t>Northern</w:t>
            </w:r>
          </w:p>
        </w:tc>
        <w:tc>
          <w:tcPr>
            <w:tcW w:w="594" w:type="pct"/>
            <w:tcBorders>
              <w:top w:val="single" w:sz="4" w:space="0" w:color="auto"/>
            </w:tcBorders>
            <w:shd w:val="clear" w:color="auto" w:fill="auto"/>
            <w:vAlign w:val="center"/>
          </w:tcPr>
          <w:p w14:paraId="1449A464" w14:textId="77777777" w:rsidR="00A8570B" w:rsidRPr="0084778E" w:rsidRDefault="00000000" w:rsidP="00A8570B">
            <w:pPr>
              <w:jc w:val="center"/>
              <w:rPr>
                <w:rFonts w:eastAsia="Times New Roman" w:cs="Times New Roman"/>
                <w:lang w:val="en-AU"/>
              </w:rPr>
            </w:pPr>
            <w:r w:rsidRPr="0084778E">
              <w:rPr>
                <w:rFonts w:eastAsia="Times New Roman" w:cs="Times New Roman"/>
                <w:lang w:val="en-AU"/>
              </w:rPr>
              <w:t>15</w:t>
            </w:r>
          </w:p>
        </w:tc>
        <w:tc>
          <w:tcPr>
            <w:tcW w:w="660" w:type="pct"/>
            <w:tcBorders>
              <w:top w:val="single" w:sz="4" w:space="0" w:color="auto"/>
            </w:tcBorders>
            <w:shd w:val="clear" w:color="auto" w:fill="auto"/>
            <w:vAlign w:val="center"/>
          </w:tcPr>
          <w:p w14:paraId="683457CF" w14:textId="77777777" w:rsidR="00A8570B" w:rsidRPr="0084778E" w:rsidRDefault="00000000" w:rsidP="00A8570B">
            <w:pPr>
              <w:jc w:val="center"/>
              <w:rPr>
                <w:rFonts w:eastAsia="Times New Roman" w:cs="Times New Roman"/>
                <w:cs/>
                <w:lang w:val="en-AU"/>
              </w:rPr>
            </w:pPr>
            <w:r w:rsidRPr="0084778E">
              <w:rPr>
                <w:rFonts w:eastAsia="Times New Roman" w:cs="Times New Roman"/>
                <w:cs/>
                <w:lang w:val="en-AU"/>
              </w:rPr>
              <w:t>456</w:t>
            </w:r>
          </w:p>
        </w:tc>
        <w:tc>
          <w:tcPr>
            <w:tcW w:w="683" w:type="pct"/>
            <w:tcBorders>
              <w:top w:val="single" w:sz="4" w:space="0" w:color="auto"/>
            </w:tcBorders>
            <w:shd w:val="clear" w:color="auto" w:fill="auto"/>
            <w:vAlign w:val="center"/>
          </w:tcPr>
          <w:p w14:paraId="3B1984FA" w14:textId="77777777" w:rsidR="00A8570B" w:rsidRPr="0084778E" w:rsidRDefault="00000000" w:rsidP="00A8570B">
            <w:pPr>
              <w:jc w:val="center"/>
              <w:rPr>
                <w:rFonts w:eastAsia="Times New Roman" w:cs="Times New Roman"/>
                <w:cs/>
                <w:lang w:val="en-AU"/>
              </w:rPr>
            </w:pPr>
            <w:r w:rsidRPr="0084778E">
              <w:rPr>
                <w:rFonts w:eastAsia="Times New Roman" w:cs="Times New Roman"/>
                <w:cs/>
                <w:lang w:val="en-AU"/>
              </w:rPr>
              <w:t>8</w:t>
            </w:r>
          </w:p>
        </w:tc>
        <w:tc>
          <w:tcPr>
            <w:tcW w:w="660" w:type="pct"/>
            <w:tcBorders>
              <w:top w:val="single" w:sz="4" w:space="0" w:color="auto"/>
            </w:tcBorders>
            <w:shd w:val="clear" w:color="auto" w:fill="auto"/>
            <w:vAlign w:val="center"/>
          </w:tcPr>
          <w:p w14:paraId="5D0F506C" w14:textId="77777777" w:rsidR="00A8570B" w:rsidRPr="0084778E" w:rsidRDefault="00000000" w:rsidP="00A8570B">
            <w:pPr>
              <w:jc w:val="center"/>
              <w:rPr>
                <w:rFonts w:eastAsia="Times New Roman" w:cs="Times New Roman"/>
                <w:lang w:val="en-AU"/>
              </w:rPr>
            </w:pPr>
            <w:r w:rsidRPr="0084778E">
              <w:rPr>
                <w:rFonts w:eastAsia="Times New Roman" w:cs="Times New Roman"/>
                <w:lang w:val="en-AU"/>
              </w:rPr>
              <w:t>77</w:t>
            </w:r>
          </w:p>
        </w:tc>
        <w:tc>
          <w:tcPr>
            <w:tcW w:w="683" w:type="pct"/>
            <w:tcBorders>
              <w:top w:val="single" w:sz="4" w:space="0" w:color="auto"/>
            </w:tcBorders>
            <w:shd w:val="clear" w:color="auto" w:fill="auto"/>
            <w:vAlign w:val="center"/>
          </w:tcPr>
          <w:p w14:paraId="2F8D24C3" w14:textId="77777777" w:rsidR="00A8570B" w:rsidRPr="0084778E" w:rsidRDefault="00000000" w:rsidP="00A8570B">
            <w:pPr>
              <w:jc w:val="center"/>
              <w:rPr>
                <w:rFonts w:eastAsia="Times New Roman" w:cs="Times New Roman"/>
                <w:lang w:val="en-AU"/>
              </w:rPr>
            </w:pPr>
            <w:r w:rsidRPr="0084778E">
              <w:rPr>
                <w:rFonts w:cs="Times New Roman"/>
              </w:rPr>
              <w:t>65</w:t>
            </w:r>
          </w:p>
        </w:tc>
        <w:tc>
          <w:tcPr>
            <w:tcW w:w="514" w:type="pct"/>
            <w:tcBorders>
              <w:top w:val="single" w:sz="4" w:space="0" w:color="auto"/>
            </w:tcBorders>
            <w:shd w:val="clear" w:color="auto" w:fill="auto"/>
            <w:vAlign w:val="center"/>
          </w:tcPr>
          <w:p w14:paraId="54C82B66" w14:textId="77777777" w:rsidR="00A8570B" w:rsidRPr="0084778E" w:rsidRDefault="00000000" w:rsidP="00A8570B">
            <w:pPr>
              <w:jc w:val="center"/>
              <w:rPr>
                <w:rFonts w:eastAsia="Times New Roman" w:cs="Times New Roman"/>
                <w:lang w:val="en-AU"/>
              </w:rPr>
            </w:pPr>
            <w:r w:rsidRPr="0084778E">
              <w:rPr>
                <w:rFonts w:cs="Times New Roman"/>
              </w:rPr>
              <w:t>84</w:t>
            </w:r>
          </w:p>
        </w:tc>
      </w:tr>
      <w:tr w:rsidR="00FE5EC8" w14:paraId="2B2E29CB" w14:textId="77777777" w:rsidTr="00A8570B">
        <w:trPr>
          <w:jc w:val="center"/>
        </w:trPr>
        <w:tc>
          <w:tcPr>
            <w:tcW w:w="1205" w:type="pct"/>
            <w:shd w:val="clear" w:color="auto" w:fill="auto"/>
            <w:vAlign w:val="center"/>
          </w:tcPr>
          <w:p w14:paraId="10AF709B" w14:textId="77777777" w:rsidR="00A8570B" w:rsidRPr="0084778E" w:rsidRDefault="00000000" w:rsidP="00A8570B">
            <w:pPr>
              <w:jc w:val="left"/>
              <w:rPr>
                <w:rFonts w:eastAsia="Times New Roman" w:cs="Times New Roman"/>
                <w:b/>
                <w:bCs/>
                <w:lang w:val="en-AU"/>
              </w:rPr>
            </w:pPr>
            <w:r w:rsidRPr="0084778E">
              <w:rPr>
                <w:rFonts w:eastAsia="Times New Roman" w:cs="Times New Roman"/>
                <w:b/>
                <w:bCs/>
                <w:lang w:val="en-AU"/>
              </w:rPr>
              <w:t>Central / Eastern</w:t>
            </w:r>
          </w:p>
        </w:tc>
        <w:tc>
          <w:tcPr>
            <w:tcW w:w="594" w:type="pct"/>
            <w:shd w:val="clear" w:color="auto" w:fill="auto"/>
            <w:vAlign w:val="center"/>
          </w:tcPr>
          <w:p w14:paraId="357FA9C6" w14:textId="77777777" w:rsidR="00A8570B" w:rsidRPr="0084778E" w:rsidRDefault="00000000" w:rsidP="00A8570B">
            <w:pPr>
              <w:jc w:val="center"/>
              <w:rPr>
                <w:rFonts w:eastAsia="Times New Roman" w:cs="Times New Roman"/>
                <w:lang w:val="en-AU"/>
              </w:rPr>
            </w:pPr>
            <w:r w:rsidRPr="0084778E">
              <w:rPr>
                <w:rFonts w:eastAsia="Times New Roman" w:cs="Times New Roman"/>
                <w:lang w:val="en-AU"/>
              </w:rPr>
              <w:t>21</w:t>
            </w:r>
          </w:p>
        </w:tc>
        <w:tc>
          <w:tcPr>
            <w:tcW w:w="660" w:type="pct"/>
            <w:shd w:val="clear" w:color="auto" w:fill="auto"/>
            <w:vAlign w:val="center"/>
          </w:tcPr>
          <w:p w14:paraId="7DA0E4FF" w14:textId="77777777" w:rsidR="00A8570B" w:rsidRPr="0084778E" w:rsidRDefault="00000000" w:rsidP="00A8570B">
            <w:pPr>
              <w:jc w:val="center"/>
              <w:rPr>
                <w:rFonts w:eastAsia="Times New Roman" w:cs="Times New Roman"/>
                <w:cs/>
                <w:lang w:val="en-AU"/>
              </w:rPr>
            </w:pPr>
            <w:r w:rsidRPr="0084778E">
              <w:rPr>
                <w:rFonts w:eastAsia="Times New Roman" w:cs="Times New Roman"/>
                <w:cs/>
                <w:lang w:val="en-AU"/>
              </w:rPr>
              <w:t>637</w:t>
            </w:r>
          </w:p>
        </w:tc>
        <w:tc>
          <w:tcPr>
            <w:tcW w:w="683" w:type="pct"/>
            <w:shd w:val="clear" w:color="auto" w:fill="auto"/>
            <w:vAlign w:val="center"/>
          </w:tcPr>
          <w:p w14:paraId="207E0333" w14:textId="77777777" w:rsidR="00A8570B" w:rsidRPr="0084778E" w:rsidRDefault="00000000" w:rsidP="00A8570B">
            <w:pPr>
              <w:jc w:val="center"/>
              <w:rPr>
                <w:rFonts w:eastAsia="Times New Roman" w:cs="Times New Roman"/>
                <w:cs/>
                <w:lang w:val="en-AU"/>
              </w:rPr>
            </w:pPr>
            <w:r w:rsidRPr="0084778E">
              <w:rPr>
                <w:rFonts w:eastAsia="Times New Roman" w:cs="Times New Roman"/>
                <w:cs/>
                <w:lang w:val="en-AU"/>
              </w:rPr>
              <w:t>11</w:t>
            </w:r>
          </w:p>
        </w:tc>
        <w:tc>
          <w:tcPr>
            <w:tcW w:w="660" w:type="pct"/>
            <w:shd w:val="clear" w:color="auto" w:fill="auto"/>
            <w:vAlign w:val="center"/>
          </w:tcPr>
          <w:p w14:paraId="1D4D790C" w14:textId="77777777" w:rsidR="00A8570B" w:rsidRPr="0084778E" w:rsidRDefault="00000000" w:rsidP="00A8570B">
            <w:pPr>
              <w:jc w:val="center"/>
              <w:rPr>
                <w:rFonts w:eastAsia="Times New Roman" w:cs="Times New Roman"/>
                <w:lang w:val="en-AU"/>
              </w:rPr>
            </w:pPr>
            <w:r w:rsidRPr="0084778E">
              <w:rPr>
                <w:rFonts w:eastAsia="Times New Roman" w:cs="Times New Roman"/>
                <w:lang w:val="en-AU"/>
              </w:rPr>
              <w:t>108</w:t>
            </w:r>
          </w:p>
        </w:tc>
        <w:tc>
          <w:tcPr>
            <w:tcW w:w="683" w:type="pct"/>
            <w:shd w:val="clear" w:color="auto" w:fill="auto"/>
            <w:vAlign w:val="center"/>
          </w:tcPr>
          <w:p w14:paraId="402979B5" w14:textId="77777777" w:rsidR="00A8570B" w:rsidRPr="0084778E" w:rsidRDefault="00000000" w:rsidP="00A8570B">
            <w:pPr>
              <w:jc w:val="center"/>
              <w:rPr>
                <w:rFonts w:eastAsia="Times New Roman" w:cs="Times New Roman"/>
                <w:lang w:val="en-AU"/>
              </w:rPr>
            </w:pPr>
            <w:r w:rsidRPr="0084778E">
              <w:rPr>
                <w:rFonts w:cs="Times New Roman"/>
              </w:rPr>
              <w:t>98</w:t>
            </w:r>
          </w:p>
        </w:tc>
        <w:tc>
          <w:tcPr>
            <w:tcW w:w="514" w:type="pct"/>
            <w:shd w:val="clear" w:color="auto" w:fill="auto"/>
            <w:vAlign w:val="center"/>
          </w:tcPr>
          <w:p w14:paraId="122EDF03" w14:textId="77777777" w:rsidR="00A8570B" w:rsidRPr="0084778E" w:rsidRDefault="00000000" w:rsidP="00A8570B">
            <w:pPr>
              <w:jc w:val="center"/>
              <w:rPr>
                <w:rFonts w:eastAsia="Times New Roman" w:cs="Times New Roman"/>
                <w:lang w:val="en-AU"/>
              </w:rPr>
            </w:pPr>
            <w:r w:rsidRPr="0084778E">
              <w:rPr>
                <w:rFonts w:cs="Times New Roman"/>
              </w:rPr>
              <w:t>91</w:t>
            </w:r>
          </w:p>
        </w:tc>
      </w:tr>
      <w:tr w:rsidR="00FE5EC8" w14:paraId="5B45C960" w14:textId="77777777" w:rsidTr="00A8570B">
        <w:trPr>
          <w:jc w:val="center"/>
        </w:trPr>
        <w:tc>
          <w:tcPr>
            <w:tcW w:w="1205" w:type="pct"/>
            <w:shd w:val="clear" w:color="auto" w:fill="auto"/>
            <w:vAlign w:val="center"/>
          </w:tcPr>
          <w:p w14:paraId="250610F6" w14:textId="77777777" w:rsidR="00A8570B" w:rsidRPr="0084778E" w:rsidRDefault="00000000" w:rsidP="00A8570B">
            <w:pPr>
              <w:jc w:val="left"/>
              <w:rPr>
                <w:rFonts w:eastAsia="Times New Roman" w:cs="Times New Roman"/>
                <w:b/>
                <w:bCs/>
                <w:lang w:val="en-AU"/>
              </w:rPr>
            </w:pPr>
            <w:r w:rsidRPr="0084778E">
              <w:rPr>
                <w:rFonts w:eastAsia="Times New Roman" w:cs="Times New Roman"/>
                <w:b/>
                <w:bCs/>
                <w:lang w:val="en-AU"/>
              </w:rPr>
              <w:t>Northeast</w:t>
            </w:r>
          </w:p>
        </w:tc>
        <w:tc>
          <w:tcPr>
            <w:tcW w:w="594" w:type="pct"/>
            <w:shd w:val="clear" w:color="auto" w:fill="auto"/>
            <w:vAlign w:val="center"/>
          </w:tcPr>
          <w:p w14:paraId="74C57A64" w14:textId="77777777" w:rsidR="00A8570B" w:rsidRPr="0084778E" w:rsidRDefault="00000000" w:rsidP="00A8570B">
            <w:pPr>
              <w:jc w:val="center"/>
              <w:rPr>
                <w:rFonts w:eastAsia="Times New Roman" w:cs="Times New Roman"/>
                <w:lang w:val="en-AU"/>
              </w:rPr>
            </w:pPr>
            <w:r w:rsidRPr="0084778E">
              <w:rPr>
                <w:rFonts w:eastAsia="Times New Roman" w:cs="Times New Roman"/>
                <w:lang w:val="en-AU"/>
              </w:rPr>
              <w:t>17</w:t>
            </w:r>
          </w:p>
        </w:tc>
        <w:tc>
          <w:tcPr>
            <w:tcW w:w="660" w:type="pct"/>
            <w:shd w:val="clear" w:color="auto" w:fill="auto"/>
            <w:vAlign w:val="center"/>
          </w:tcPr>
          <w:p w14:paraId="56F5440A" w14:textId="77777777" w:rsidR="00A8570B" w:rsidRPr="0084778E" w:rsidRDefault="00000000" w:rsidP="00A8570B">
            <w:pPr>
              <w:jc w:val="center"/>
              <w:rPr>
                <w:rFonts w:eastAsia="Times New Roman" w:cs="Times New Roman"/>
                <w:cs/>
                <w:lang w:val="en-AU"/>
              </w:rPr>
            </w:pPr>
            <w:r w:rsidRPr="0084778E">
              <w:rPr>
                <w:rFonts w:eastAsia="Times New Roman" w:cs="Times New Roman"/>
                <w:cs/>
                <w:lang w:val="en-AU"/>
              </w:rPr>
              <w:t>933</w:t>
            </w:r>
          </w:p>
        </w:tc>
        <w:tc>
          <w:tcPr>
            <w:tcW w:w="683" w:type="pct"/>
            <w:shd w:val="clear" w:color="auto" w:fill="auto"/>
            <w:vAlign w:val="center"/>
          </w:tcPr>
          <w:p w14:paraId="1A401B43" w14:textId="77777777" w:rsidR="00A8570B" w:rsidRPr="0084778E" w:rsidRDefault="00000000" w:rsidP="00A8570B">
            <w:pPr>
              <w:jc w:val="center"/>
              <w:rPr>
                <w:rFonts w:eastAsia="Times New Roman" w:cs="Times New Roman"/>
                <w:cs/>
                <w:lang w:val="en-AU"/>
              </w:rPr>
            </w:pPr>
            <w:r w:rsidRPr="0084778E">
              <w:rPr>
                <w:rFonts w:eastAsia="Times New Roman" w:cs="Times New Roman"/>
                <w:cs/>
                <w:lang w:val="en-AU"/>
              </w:rPr>
              <w:t>9</w:t>
            </w:r>
          </w:p>
        </w:tc>
        <w:tc>
          <w:tcPr>
            <w:tcW w:w="660" w:type="pct"/>
            <w:shd w:val="clear" w:color="auto" w:fill="auto"/>
            <w:vAlign w:val="center"/>
          </w:tcPr>
          <w:p w14:paraId="286294D6" w14:textId="77777777" w:rsidR="00A8570B" w:rsidRPr="0084778E" w:rsidRDefault="00000000" w:rsidP="00A8570B">
            <w:pPr>
              <w:jc w:val="center"/>
              <w:rPr>
                <w:rFonts w:eastAsia="Times New Roman" w:cs="Times New Roman"/>
                <w:lang w:val="en-AU"/>
              </w:rPr>
            </w:pPr>
            <w:r w:rsidRPr="0084778E">
              <w:rPr>
                <w:rFonts w:eastAsia="Times New Roman" w:cs="Times New Roman"/>
                <w:lang w:val="en-AU"/>
              </w:rPr>
              <w:t>158</w:t>
            </w:r>
          </w:p>
        </w:tc>
        <w:tc>
          <w:tcPr>
            <w:tcW w:w="683" w:type="pct"/>
            <w:shd w:val="clear" w:color="auto" w:fill="auto"/>
            <w:vAlign w:val="center"/>
          </w:tcPr>
          <w:p w14:paraId="68F491C2" w14:textId="77777777" w:rsidR="00A8570B" w:rsidRPr="0084778E" w:rsidRDefault="00000000" w:rsidP="00A8570B">
            <w:pPr>
              <w:jc w:val="center"/>
              <w:rPr>
                <w:rFonts w:eastAsia="Times New Roman" w:cs="Times New Roman"/>
                <w:lang w:val="en-AU"/>
              </w:rPr>
            </w:pPr>
            <w:r w:rsidRPr="0084778E">
              <w:rPr>
                <w:rFonts w:cs="Times New Roman"/>
              </w:rPr>
              <w:t>136</w:t>
            </w:r>
          </w:p>
        </w:tc>
        <w:tc>
          <w:tcPr>
            <w:tcW w:w="514" w:type="pct"/>
            <w:shd w:val="clear" w:color="auto" w:fill="auto"/>
            <w:vAlign w:val="center"/>
          </w:tcPr>
          <w:p w14:paraId="0988AC47" w14:textId="77777777" w:rsidR="00A8570B" w:rsidRPr="0084778E" w:rsidRDefault="00000000" w:rsidP="00A8570B">
            <w:pPr>
              <w:jc w:val="center"/>
              <w:rPr>
                <w:rFonts w:eastAsia="Times New Roman" w:cs="Times New Roman"/>
                <w:lang w:val="en-AU"/>
              </w:rPr>
            </w:pPr>
            <w:r w:rsidRPr="0084778E">
              <w:rPr>
                <w:rFonts w:cs="Times New Roman"/>
              </w:rPr>
              <w:t>86</w:t>
            </w:r>
          </w:p>
        </w:tc>
      </w:tr>
      <w:tr w:rsidR="00FE5EC8" w14:paraId="7D503D5F" w14:textId="77777777" w:rsidTr="00A8570B">
        <w:trPr>
          <w:jc w:val="center"/>
        </w:trPr>
        <w:tc>
          <w:tcPr>
            <w:tcW w:w="1205" w:type="pct"/>
            <w:shd w:val="clear" w:color="auto" w:fill="auto"/>
            <w:vAlign w:val="center"/>
          </w:tcPr>
          <w:p w14:paraId="1F4B60D0" w14:textId="77777777" w:rsidR="00A8570B" w:rsidRPr="0084778E" w:rsidRDefault="00000000" w:rsidP="00A8570B">
            <w:pPr>
              <w:jc w:val="left"/>
              <w:rPr>
                <w:rFonts w:eastAsia="Times New Roman" w:cs="Times New Roman"/>
                <w:b/>
                <w:bCs/>
                <w:lang w:val="en-AU"/>
              </w:rPr>
            </w:pPr>
            <w:r w:rsidRPr="0084778E">
              <w:rPr>
                <w:rFonts w:eastAsia="Times New Roman" w:cs="Times New Roman"/>
                <w:b/>
                <w:bCs/>
                <w:lang w:val="en-AU"/>
              </w:rPr>
              <w:t>Southern</w:t>
            </w:r>
          </w:p>
        </w:tc>
        <w:tc>
          <w:tcPr>
            <w:tcW w:w="594" w:type="pct"/>
            <w:shd w:val="clear" w:color="auto" w:fill="auto"/>
            <w:vAlign w:val="center"/>
          </w:tcPr>
          <w:p w14:paraId="29CDC57C" w14:textId="77777777" w:rsidR="00A8570B" w:rsidRPr="0084778E" w:rsidRDefault="00000000" w:rsidP="00A8570B">
            <w:pPr>
              <w:jc w:val="center"/>
              <w:rPr>
                <w:rFonts w:eastAsia="Times New Roman" w:cs="Times New Roman"/>
                <w:lang w:val="en-AU"/>
              </w:rPr>
            </w:pPr>
            <w:r w:rsidRPr="0084778E">
              <w:rPr>
                <w:rFonts w:eastAsia="Times New Roman" w:cs="Times New Roman"/>
                <w:lang w:val="en-AU"/>
              </w:rPr>
              <w:t>9</w:t>
            </w:r>
          </w:p>
        </w:tc>
        <w:tc>
          <w:tcPr>
            <w:tcW w:w="660" w:type="pct"/>
            <w:shd w:val="clear" w:color="auto" w:fill="auto"/>
            <w:vAlign w:val="center"/>
          </w:tcPr>
          <w:p w14:paraId="561DE92E" w14:textId="77777777" w:rsidR="00A8570B" w:rsidRPr="0084778E" w:rsidRDefault="00000000" w:rsidP="00A8570B">
            <w:pPr>
              <w:jc w:val="center"/>
              <w:rPr>
                <w:rFonts w:eastAsia="Times New Roman" w:cs="Times New Roman"/>
                <w:cs/>
                <w:lang w:val="en-AU"/>
              </w:rPr>
            </w:pPr>
            <w:r w:rsidRPr="0084778E">
              <w:rPr>
                <w:rFonts w:eastAsia="Times New Roman" w:cs="Times New Roman"/>
                <w:cs/>
                <w:lang w:val="en-AU"/>
              </w:rPr>
              <w:t>334</w:t>
            </w:r>
          </w:p>
        </w:tc>
        <w:tc>
          <w:tcPr>
            <w:tcW w:w="683" w:type="pct"/>
            <w:shd w:val="clear" w:color="auto" w:fill="auto"/>
            <w:vAlign w:val="center"/>
          </w:tcPr>
          <w:p w14:paraId="54878052" w14:textId="77777777" w:rsidR="00A8570B" w:rsidRPr="0084778E" w:rsidRDefault="00000000" w:rsidP="00A8570B">
            <w:pPr>
              <w:jc w:val="center"/>
              <w:rPr>
                <w:rFonts w:eastAsia="Times New Roman" w:cs="Times New Roman"/>
              </w:rPr>
            </w:pPr>
            <w:r w:rsidRPr="0084778E">
              <w:rPr>
                <w:rFonts w:eastAsia="Times New Roman" w:cs="Times New Roman"/>
              </w:rPr>
              <w:t>5</w:t>
            </w:r>
          </w:p>
        </w:tc>
        <w:tc>
          <w:tcPr>
            <w:tcW w:w="660" w:type="pct"/>
            <w:shd w:val="clear" w:color="auto" w:fill="auto"/>
            <w:vAlign w:val="center"/>
          </w:tcPr>
          <w:p w14:paraId="6D52B83B" w14:textId="77777777" w:rsidR="00A8570B" w:rsidRPr="0084778E" w:rsidRDefault="00000000" w:rsidP="00A8570B">
            <w:pPr>
              <w:jc w:val="center"/>
              <w:rPr>
                <w:rFonts w:eastAsia="Times New Roman" w:cs="Times New Roman"/>
                <w:cs/>
                <w:lang w:val="en-AU"/>
              </w:rPr>
            </w:pPr>
            <w:r w:rsidRPr="0084778E">
              <w:rPr>
                <w:rFonts w:eastAsia="Times New Roman" w:cs="Times New Roman"/>
                <w:lang w:val="en-AU"/>
              </w:rPr>
              <w:t>57</w:t>
            </w:r>
          </w:p>
        </w:tc>
        <w:tc>
          <w:tcPr>
            <w:tcW w:w="683" w:type="pct"/>
            <w:shd w:val="clear" w:color="auto" w:fill="auto"/>
            <w:vAlign w:val="center"/>
          </w:tcPr>
          <w:p w14:paraId="1972A599" w14:textId="77777777" w:rsidR="00A8570B" w:rsidRPr="0084778E" w:rsidRDefault="00000000" w:rsidP="00A8570B">
            <w:pPr>
              <w:jc w:val="center"/>
              <w:rPr>
                <w:rFonts w:eastAsia="Times New Roman" w:cs="Times New Roman"/>
                <w:lang w:val="en-AU"/>
              </w:rPr>
            </w:pPr>
            <w:r w:rsidRPr="0084778E">
              <w:rPr>
                <w:rFonts w:cs="Times New Roman"/>
              </w:rPr>
              <w:t>55</w:t>
            </w:r>
          </w:p>
        </w:tc>
        <w:tc>
          <w:tcPr>
            <w:tcW w:w="514" w:type="pct"/>
            <w:shd w:val="clear" w:color="auto" w:fill="auto"/>
            <w:vAlign w:val="center"/>
          </w:tcPr>
          <w:p w14:paraId="5E47A34A" w14:textId="77777777" w:rsidR="00A8570B" w:rsidRPr="0084778E" w:rsidRDefault="00000000" w:rsidP="00A8570B">
            <w:pPr>
              <w:jc w:val="center"/>
              <w:rPr>
                <w:rFonts w:eastAsia="Times New Roman" w:cs="Times New Roman"/>
                <w:lang w:val="en-AU"/>
              </w:rPr>
            </w:pPr>
            <w:r w:rsidRPr="0084778E">
              <w:rPr>
                <w:rFonts w:cs="Times New Roman"/>
              </w:rPr>
              <w:t>96</w:t>
            </w:r>
          </w:p>
        </w:tc>
      </w:tr>
      <w:tr w:rsidR="00FE5EC8" w14:paraId="113FE35F" w14:textId="77777777" w:rsidTr="00A8570B">
        <w:trPr>
          <w:jc w:val="center"/>
        </w:trPr>
        <w:tc>
          <w:tcPr>
            <w:tcW w:w="1205" w:type="pct"/>
            <w:shd w:val="clear" w:color="auto" w:fill="auto"/>
            <w:vAlign w:val="center"/>
          </w:tcPr>
          <w:p w14:paraId="0A4F7082" w14:textId="77777777" w:rsidR="00A8570B" w:rsidRPr="0084778E" w:rsidRDefault="00000000" w:rsidP="00A8570B">
            <w:pPr>
              <w:jc w:val="center"/>
              <w:rPr>
                <w:rFonts w:eastAsia="Times New Roman" w:cs="Times New Roman"/>
                <w:b/>
                <w:bCs/>
                <w:lang w:val="en-AU"/>
              </w:rPr>
            </w:pPr>
            <w:r w:rsidRPr="0084778E">
              <w:rPr>
                <w:rFonts w:eastAsia="Times New Roman" w:cs="Times New Roman"/>
                <w:b/>
                <w:bCs/>
                <w:lang w:val="en-AU"/>
              </w:rPr>
              <w:t>Totals</w:t>
            </w:r>
          </w:p>
        </w:tc>
        <w:tc>
          <w:tcPr>
            <w:tcW w:w="594" w:type="pct"/>
            <w:shd w:val="clear" w:color="auto" w:fill="auto"/>
            <w:vAlign w:val="center"/>
          </w:tcPr>
          <w:p w14:paraId="249BDC9B" w14:textId="77777777" w:rsidR="00A8570B" w:rsidRPr="0084778E" w:rsidRDefault="00000000" w:rsidP="00A8570B">
            <w:pPr>
              <w:jc w:val="center"/>
              <w:rPr>
                <w:rFonts w:eastAsia="Times New Roman" w:cs="Times New Roman"/>
                <w:b/>
                <w:bCs/>
                <w:lang w:val="en-AU"/>
              </w:rPr>
            </w:pPr>
            <w:r w:rsidRPr="0084778E">
              <w:rPr>
                <w:rFonts w:eastAsia="Times New Roman" w:cs="Times New Roman"/>
                <w:b/>
                <w:bCs/>
                <w:lang w:val="en-AU"/>
              </w:rPr>
              <w:t>62</w:t>
            </w:r>
          </w:p>
        </w:tc>
        <w:tc>
          <w:tcPr>
            <w:tcW w:w="660" w:type="pct"/>
            <w:shd w:val="clear" w:color="auto" w:fill="auto"/>
            <w:vAlign w:val="center"/>
          </w:tcPr>
          <w:p w14:paraId="0A6AF4B0" w14:textId="77777777" w:rsidR="00A8570B" w:rsidRPr="0084778E" w:rsidRDefault="00000000" w:rsidP="00A8570B">
            <w:pPr>
              <w:jc w:val="center"/>
              <w:rPr>
                <w:rFonts w:eastAsia="Times New Roman" w:cs="Times New Roman"/>
                <w:b/>
                <w:bCs/>
                <w:cs/>
                <w:lang w:val="en-AU"/>
              </w:rPr>
            </w:pPr>
            <w:r w:rsidRPr="0084778E">
              <w:rPr>
                <w:rFonts w:eastAsia="Times New Roman" w:cs="Times New Roman"/>
                <w:b/>
                <w:bCs/>
                <w:cs/>
                <w:lang w:val="en-AU"/>
              </w:rPr>
              <w:t>2,360</w:t>
            </w:r>
          </w:p>
        </w:tc>
        <w:tc>
          <w:tcPr>
            <w:tcW w:w="683" w:type="pct"/>
            <w:shd w:val="clear" w:color="auto" w:fill="auto"/>
            <w:vAlign w:val="center"/>
          </w:tcPr>
          <w:p w14:paraId="4439B743" w14:textId="77777777" w:rsidR="00A8570B" w:rsidRPr="0084778E" w:rsidRDefault="00000000" w:rsidP="00A8570B">
            <w:pPr>
              <w:jc w:val="center"/>
              <w:rPr>
                <w:rFonts w:eastAsia="Times New Roman" w:cs="Times New Roman"/>
                <w:b/>
                <w:bCs/>
                <w:cs/>
                <w:lang w:val="en-AU"/>
              </w:rPr>
            </w:pPr>
            <w:r w:rsidRPr="0084778E">
              <w:rPr>
                <w:rFonts w:eastAsia="Times New Roman" w:cs="Times New Roman"/>
                <w:b/>
                <w:bCs/>
                <w:cs/>
                <w:lang w:val="en-AU"/>
              </w:rPr>
              <w:t>3</w:t>
            </w:r>
            <w:r w:rsidRPr="0084778E">
              <w:rPr>
                <w:rFonts w:eastAsia="Times New Roman" w:cs="Times New Roman"/>
                <w:b/>
                <w:bCs/>
                <w:lang w:val="en-AU"/>
              </w:rPr>
              <w:t>3</w:t>
            </w:r>
          </w:p>
        </w:tc>
        <w:tc>
          <w:tcPr>
            <w:tcW w:w="660" w:type="pct"/>
            <w:shd w:val="clear" w:color="auto" w:fill="auto"/>
            <w:vAlign w:val="center"/>
          </w:tcPr>
          <w:p w14:paraId="75386F6F" w14:textId="77777777" w:rsidR="00A8570B" w:rsidRPr="0084778E" w:rsidRDefault="00000000" w:rsidP="00A8570B">
            <w:pPr>
              <w:jc w:val="center"/>
              <w:rPr>
                <w:rFonts w:eastAsia="Times New Roman" w:cs="Times New Roman"/>
                <w:b/>
                <w:bCs/>
                <w:lang w:val="en-AU"/>
              </w:rPr>
            </w:pPr>
            <w:r w:rsidRPr="0084778E">
              <w:rPr>
                <w:rFonts w:eastAsia="Times New Roman" w:cs="Times New Roman"/>
                <w:b/>
                <w:bCs/>
                <w:lang w:val="en-AU"/>
              </w:rPr>
              <w:t>400</w:t>
            </w:r>
          </w:p>
        </w:tc>
        <w:tc>
          <w:tcPr>
            <w:tcW w:w="683" w:type="pct"/>
            <w:shd w:val="clear" w:color="auto" w:fill="auto"/>
            <w:vAlign w:val="center"/>
          </w:tcPr>
          <w:p w14:paraId="1117FD52" w14:textId="77777777" w:rsidR="00A8570B" w:rsidRPr="0084778E" w:rsidRDefault="00000000" w:rsidP="00A8570B">
            <w:pPr>
              <w:jc w:val="center"/>
              <w:rPr>
                <w:rFonts w:eastAsia="Times New Roman" w:cs="Times New Roman"/>
                <w:b/>
                <w:bCs/>
                <w:lang w:val="en-AU"/>
              </w:rPr>
            </w:pPr>
            <w:r w:rsidRPr="0084778E">
              <w:rPr>
                <w:rFonts w:cs="Times New Roman"/>
                <w:b/>
                <w:bCs/>
              </w:rPr>
              <w:t>354</w:t>
            </w:r>
          </w:p>
        </w:tc>
        <w:tc>
          <w:tcPr>
            <w:tcW w:w="514" w:type="pct"/>
            <w:shd w:val="clear" w:color="auto" w:fill="auto"/>
            <w:vAlign w:val="center"/>
          </w:tcPr>
          <w:p w14:paraId="605E0057" w14:textId="77777777" w:rsidR="00A8570B" w:rsidRPr="0084778E" w:rsidRDefault="00000000" w:rsidP="00A8570B">
            <w:pPr>
              <w:jc w:val="center"/>
              <w:rPr>
                <w:rFonts w:eastAsia="Times New Roman" w:cs="Times New Roman"/>
                <w:b/>
                <w:bCs/>
                <w:lang w:val="en-AU"/>
              </w:rPr>
            </w:pPr>
            <w:r w:rsidRPr="0084778E">
              <w:rPr>
                <w:rFonts w:cs="Times New Roman"/>
                <w:b/>
                <w:bCs/>
              </w:rPr>
              <w:t>89</w:t>
            </w:r>
          </w:p>
        </w:tc>
      </w:tr>
    </w:tbl>
    <w:p w14:paraId="5B027E37" w14:textId="77777777" w:rsidR="00A8570B" w:rsidRPr="0084778E" w:rsidRDefault="00A8570B" w:rsidP="00A8570B">
      <w:pPr>
        <w:pStyle w:val="NoSpacing"/>
        <w:spacing w:line="360" w:lineRule="auto"/>
        <w:jc w:val="thaiDistribute"/>
        <w:rPr>
          <w:rFonts w:ascii="Tahoma" w:hAnsi="Tahoma" w:cs="Tahoma"/>
          <w:lang w:val="en-US" w:bidi="th-TH"/>
        </w:rPr>
      </w:pPr>
    </w:p>
    <w:p w14:paraId="09B0E17F" w14:textId="77777777" w:rsidR="00A8570B" w:rsidRPr="0084778E" w:rsidRDefault="00000000" w:rsidP="00A8570B">
      <w:pPr>
        <w:pStyle w:val="NoSpacing"/>
        <w:spacing w:line="360" w:lineRule="auto"/>
        <w:jc w:val="thaiDistribute"/>
        <w:rPr>
          <w:rFonts w:ascii="Times New Roman" w:hAnsi="Times New Roman" w:cs="Times New Roman"/>
          <w:b/>
          <w:bCs/>
          <w:sz w:val="20"/>
          <w:szCs w:val="20"/>
          <w:lang w:bidi="th-TH"/>
        </w:rPr>
      </w:pPr>
      <w:r w:rsidRPr="0084778E">
        <w:rPr>
          <w:rFonts w:ascii="Times New Roman" w:hAnsi="Times New Roman" w:cs="Times New Roman"/>
          <w:b/>
          <w:bCs/>
          <w:sz w:val="20"/>
          <w:szCs w:val="20"/>
          <w:lang w:bidi="th-TH"/>
        </w:rPr>
        <w:t xml:space="preserve">Research </w:t>
      </w:r>
      <w:r w:rsidR="005827DB" w:rsidRPr="0084778E">
        <w:rPr>
          <w:rFonts w:ascii="Times New Roman" w:hAnsi="Times New Roman" w:cs="Times New Roman"/>
          <w:b/>
          <w:bCs/>
          <w:sz w:val="20"/>
          <w:szCs w:val="20"/>
          <w:lang w:bidi="th-TH"/>
        </w:rPr>
        <w:t>T</w:t>
      </w:r>
      <w:r w:rsidRPr="0084778E">
        <w:rPr>
          <w:rFonts w:ascii="Times New Roman" w:hAnsi="Times New Roman" w:cs="Times New Roman"/>
          <w:b/>
          <w:bCs/>
          <w:sz w:val="20"/>
          <w:szCs w:val="20"/>
          <w:lang w:bidi="th-TH"/>
        </w:rPr>
        <w:t>ools</w:t>
      </w:r>
    </w:p>
    <w:p w14:paraId="61C76C9F" w14:textId="77777777" w:rsidR="00A8570B" w:rsidRPr="0084778E" w:rsidRDefault="00A8570B" w:rsidP="00A8570B">
      <w:pPr>
        <w:pStyle w:val="NoSpacing"/>
        <w:spacing w:line="360" w:lineRule="auto"/>
        <w:jc w:val="both"/>
        <w:rPr>
          <w:rFonts w:ascii="Times New Roman" w:hAnsi="Times New Roman" w:cs="Times New Roman"/>
          <w:sz w:val="20"/>
          <w:szCs w:val="20"/>
          <w:lang w:bidi="th-TH"/>
        </w:rPr>
      </w:pPr>
    </w:p>
    <w:p w14:paraId="3A9F0566" w14:textId="2D067C88" w:rsidR="00A8570B" w:rsidRPr="0084778E" w:rsidRDefault="00000000" w:rsidP="00A8570B">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The instrument utilized in this research to measure the variables was a questionnaire assessing the appropriateness of </w:t>
      </w:r>
      <w:r w:rsidR="00896351" w:rsidRPr="0084778E">
        <w:rPr>
          <w:rFonts w:ascii="Times New Roman" w:hAnsi="Times New Roman" w:cs="Times New Roman"/>
          <w:sz w:val="20"/>
          <w:szCs w:val="20"/>
          <w:lang w:bidi="th-TH"/>
        </w:rPr>
        <w:t>DIF</w:t>
      </w:r>
      <w:r w:rsidRPr="0084778E">
        <w:rPr>
          <w:rFonts w:ascii="Times New Roman" w:hAnsi="Times New Roman" w:cs="Times New Roman"/>
          <w:sz w:val="20"/>
          <w:szCs w:val="20"/>
          <w:lang w:bidi="th-TH"/>
        </w:rPr>
        <w:t xml:space="preserve"> skills components and indicators for high school </w:t>
      </w:r>
      <w:r w:rsidRPr="004942BE">
        <w:rPr>
          <w:rFonts w:ascii="Times New Roman" w:hAnsi="Times New Roman" w:cs="Times New Roman"/>
          <w:sz w:val="20"/>
          <w:szCs w:val="20"/>
          <w:lang w:bidi="th-TH"/>
        </w:rPr>
        <w:t xml:space="preserve">students. Comprising three components and 11 indicators, the questionnaire underwent evaluation by seven experts. The </w:t>
      </w:r>
      <w:r w:rsidR="004942BE" w:rsidRPr="004942BE">
        <w:rPr>
          <w:rFonts w:ascii="Times New Roman" w:hAnsi="Times New Roman" w:cs="Times New Roman"/>
          <w:sz w:val="20"/>
          <w:szCs w:val="20"/>
        </w:rPr>
        <w:t xml:space="preserve">index of item-objective congruency </w:t>
      </w:r>
      <w:r w:rsidRPr="004942BE">
        <w:rPr>
          <w:rFonts w:ascii="Times New Roman" w:hAnsi="Times New Roman" w:cs="Times New Roman"/>
          <w:sz w:val="20"/>
          <w:szCs w:val="20"/>
          <w:lang w:bidi="th-TH"/>
        </w:rPr>
        <w:t>(</w:t>
      </w:r>
      <w:r w:rsidRPr="0084778E">
        <w:rPr>
          <w:rFonts w:ascii="Times New Roman" w:hAnsi="Times New Roman" w:cs="Times New Roman"/>
          <w:sz w:val="20"/>
          <w:szCs w:val="20"/>
          <w:lang w:bidi="th-TH"/>
        </w:rPr>
        <w:t>IOC) ranged from 0.57 to 1.00, indicating satisfactory agreement among the experts. Additionally, the questionnaire demonstrated discriminatory power values between 0.21 and 0.80, with a reliability value of 0.87, affirming its internal consistency and reliability.</w:t>
      </w:r>
    </w:p>
    <w:p w14:paraId="019EFAA4" w14:textId="77777777" w:rsidR="00A8570B" w:rsidRPr="0084778E" w:rsidRDefault="00A8570B" w:rsidP="00A8570B">
      <w:pPr>
        <w:pStyle w:val="NoSpacing"/>
        <w:spacing w:line="360" w:lineRule="auto"/>
        <w:jc w:val="both"/>
        <w:rPr>
          <w:rFonts w:ascii="Times New Roman" w:hAnsi="Times New Roman" w:cs="Times New Roman"/>
          <w:sz w:val="20"/>
          <w:szCs w:val="20"/>
          <w:lang w:bidi="th-TH"/>
        </w:rPr>
      </w:pPr>
    </w:p>
    <w:p w14:paraId="4B021E39" w14:textId="77777777" w:rsidR="00A8570B" w:rsidRPr="0084778E" w:rsidRDefault="00000000" w:rsidP="00A8570B">
      <w:pPr>
        <w:pStyle w:val="NoSpacing"/>
        <w:spacing w:line="360" w:lineRule="auto"/>
        <w:jc w:val="both"/>
        <w:rPr>
          <w:rFonts w:ascii="Times New Roman" w:hAnsi="Times New Roman" w:cs="Times New Roman"/>
          <w:b/>
          <w:bCs/>
          <w:sz w:val="20"/>
          <w:szCs w:val="20"/>
          <w:lang w:bidi="th-TH"/>
        </w:rPr>
      </w:pPr>
      <w:r w:rsidRPr="0084778E">
        <w:rPr>
          <w:rFonts w:ascii="Times New Roman" w:hAnsi="Times New Roman" w:cs="Times New Roman"/>
          <w:b/>
          <w:bCs/>
          <w:sz w:val="20"/>
          <w:szCs w:val="20"/>
          <w:lang w:bidi="th-TH"/>
        </w:rPr>
        <w:t xml:space="preserve">Data </w:t>
      </w:r>
      <w:r w:rsidR="005827DB" w:rsidRPr="0084778E">
        <w:rPr>
          <w:rFonts w:ascii="Times New Roman" w:hAnsi="Times New Roman" w:cs="Times New Roman"/>
          <w:b/>
          <w:bCs/>
          <w:sz w:val="20"/>
          <w:szCs w:val="20"/>
          <w:lang w:bidi="th-TH"/>
        </w:rPr>
        <w:t>C</w:t>
      </w:r>
      <w:r w:rsidRPr="0084778E">
        <w:rPr>
          <w:rFonts w:ascii="Times New Roman" w:hAnsi="Times New Roman" w:cs="Times New Roman"/>
          <w:b/>
          <w:bCs/>
          <w:sz w:val="20"/>
          <w:szCs w:val="20"/>
          <w:lang w:bidi="th-TH"/>
        </w:rPr>
        <w:t>ollection</w:t>
      </w:r>
    </w:p>
    <w:p w14:paraId="2B4E56D6" w14:textId="77777777" w:rsidR="00A8570B" w:rsidRPr="0084778E" w:rsidRDefault="00A8570B" w:rsidP="00A8570B">
      <w:pPr>
        <w:pStyle w:val="NoSpacing"/>
        <w:spacing w:line="360" w:lineRule="auto"/>
        <w:jc w:val="both"/>
        <w:rPr>
          <w:rFonts w:ascii="Times New Roman" w:hAnsi="Times New Roman" w:cs="Times New Roman"/>
          <w:sz w:val="20"/>
          <w:szCs w:val="20"/>
          <w:lang w:bidi="th-TH"/>
        </w:rPr>
      </w:pPr>
    </w:p>
    <w:p w14:paraId="776624C8" w14:textId="77777777" w:rsidR="00A8570B" w:rsidRPr="0084778E" w:rsidRDefault="00000000" w:rsidP="00A8570B">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Data were collected from technology teachers at the high school level within the secondary education area under the Office of the Basic Education Commission during the academic year 2023, across 33 areas. The researcher distributed a Google Form questionnaire to technology teachers via the network between August and September </w:t>
      </w:r>
      <w:r w:rsidRPr="0084778E">
        <w:rPr>
          <w:rFonts w:ascii="Times New Roman" w:hAnsi="Times New Roman" w:cs="Times New Roman"/>
          <w:sz w:val="20"/>
          <w:szCs w:val="20"/>
          <w:lang w:bidi="th-TH"/>
        </w:rPr>
        <w:lastRenderedPageBreak/>
        <w:t>2023. A total of 354 responses were received, accounting for 89</w:t>
      </w:r>
      <w:r w:rsidR="00B00C9C" w:rsidRPr="0084778E">
        <w:rPr>
          <w:rFonts w:ascii="Times New Roman" w:hAnsi="Times New Roman" w:cs="Times New Roman"/>
          <w:sz w:val="20"/>
          <w:szCs w:val="20"/>
          <w:lang w:bidi="th-TH"/>
        </w:rPr>
        <w:t>%</w:t>
      </w:r>
      <w:r w:rsidRPr="0084778E">
        <w:rPr>
          <w:rFonts w:ascii="Times New Roman" w:hAnsi="Times New Roman" w:cs="Times New Roman"/>
          <w:sz w:val="20"/>
          <w:szCs w:val="20"/>
          <w:lang w:bidi="th-TH"/>
        </w:rPr>
        <w:t xml:space="preserve"> of the targeted sample. Detailed information is presented in Table </w:t>
      </w:r>
      <w:r w:rsidR="00B00C9C" w:rsidRPr="0084778E">
        <w:rPr>
          <w:rFonts w:ascii="Times New Roman" w:hAnsi="Times New Roman" w:cs="Times New Roman"/>
          <w:sz w:val="20"/>
          <w:szCs w:val="20"/>
        </w:rPr>
        <w:t>3</w:t>
      </w:r>
      <w:r w:rsidRPr="0084778E">
        <w:rPr>
          <w:rFonts w:ascii="Times New Roman" w:hAnsi="Times New Roman" w:cs="Times New Roman"/>
          <w:sz w:val="20"/>
          <w:szCs w:val="20"/>
          <w:lang w:bidi="th-TH"/>
        </w:rPr>
        <w:t>.</w:t>
      </w:r>
    </w:p>
    <w:p w14:paraId="249E1314" w14:textId="77777777" w:rsidR="00A8570B" w:rsidRPr="0084778E" w:rsidRDefault="00A8570B" w:rsidP="00A8570B">
      <w:pPr>
        <w:pStyle w:val="NoSpacing"/>
        <w:spacing w:line="360" w:lineRule="auto"/>
        <w:jc w:val="both"/>
        <w:rPr>
          <w:rFonts w:ascii="Times New Roman" w:hAnsi="Times New Roman" w:cs="Times New Roman"/>
          <w:sz w:val="20"/>
          <w:szCs w:val="20"/>
          <w:lang w:bidi="th-TH"/>
        </w:rPr>
      </w:pPr>
    </w:p>
    <w:p w14:paraId="5F4EBB02" w14:textId="77777777" w:rsidR="00A8570B" w:rsidRPr="0084778E" w:rsidRDefault="00000000" w:rsidP="00A8570B">
      <w:pPr>
        <w:pStyle w:val="NoSpacing"/>
        <w:spacing w:line="360" w:lineRule="auto"/>
        <w:jc w:val="both"/>
        <w:rPr>
          <w:rFonts w:ascii="Times New Roman" w:hAnsi="Times New Roman" w:cs="Times New Roman"/>
          <w:b/>
          <w:bCs/>
          <w:sz w:val="20"/>
          <w:szCs w:val="20"/>
          <w:lang w:bidi="th-TH"/>
        </w:rPr>
      </w:pPr>
      <w:r w:rsidRPr="0084778E">
        <w:rPr>
          <w:rFonts w:ascii="Times New Roman" w:hAnsi="Times New Roman" w:cs="Times New Roman"/>
          <w:b/>
          <w:bCs/>
          <w:sz w:val="20"/>
          <w:szCs w:val="20"/>
          <w:lang w:bidi="th-TH"/>
        </w:rPr>
        <w:t xml:space="preserve">Data </w:t>
      </w:r>
      <w:r w:rsidR="005827DB" w:rsidRPr="0084778E">
        <w:rPr>
          <w:rFonts w:ascii="Times New Roman" w:hAnsi="Times New Roman" w:cs="Times New Roman"/>
          <w:b/>
          <w:bCs/>
          <w:sz w:val="20"/>
          <w:szCs w:val="20"/>
          <w:lang w:bidi="th-TH"/>
        </w:rPr>
        <w:t>A</w:t>
      </w:r>
      <w:r w:rsidRPr="0084778E">
        <w:rPr>
          <w:rFonts w:ascii="Times New Roman" w:hAnsi="Times New Roman" w:cs="Times New Roman"/>
          <w:b/>
          <w:bCs/>
          <w:sz w:val="20"/>
          <w:szCs w:val="20"/>
          <w:lang w:bidi="th-TH"/>
        </w:rPr>
        <w:t>nalysis</w:t>
      </w:r>
    </w:p>
    <w:p w14:paraId="6A692646" w14:textId="77777777" w:rsidR="00A8570B" w:rsidRPr="0084778E" w:rsidRDefault="00A8570B" w:rsidP="00A8570B">
      <w:pPr>
        <w:pStyle w:val="NoSpacing"/>
        <w:spacing w:line="360" w:lineRule="auto"/>
        <w:jc w:val="both"/>
        <w:rPr>
          <w:rFonts w:ascii="Times New Roman" w:hAnsi="Times New Roman" w:cs="Times New Roman"/>
          <w:sz w:val="20"/>
          <w:szCs w:val="20"/>
          <w:lang w:bidi="th-TH"/>
        </w:rPr>
      </w:pPr>
    </w:p>
    <w:p w14:paraId="5EEE3082" w14:textId="40269888" w:rsidR="00A8570B" w:rsidRPr="0084778E" w:rsidRDefault="00000000" w:rsidP="00A8570B">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Descriptive statistics, including means, standard deviations (SD), and percentages, were employed for general data analysis using SPSS for Windows Version 21. A five-level Likert scale was used to assess </w:t>
      </w:r>
      <w:r w:rsidRPr="0084778E">
        <w:rPr>
          <w:rFonts w:ascii="Times New Roman" w:hAnsi="Times New Roman" w:cs="Times New Roman"/>
          <w:sz w:val="20"/>
          <w:szCs w:val="20"/>
        </w:rPr>
        <w:t xml:space="preserve">each expert’s </w:t>
      </w:r>
      <w:r w:rsidRPr="0084778E">
        <w:rPr>
          <w:rFonts w:ascii="Times New Roman" w:hAnsi="Times New Roman" w:cs="Times New Roman"/>
          <w:sz w:val="20"/>
          <w:szCs w:val="20"/>
          <w:lang w:bidi="th-TH"/>
        </w:rPr>
        <w:t xml:space="preserve">agreement for each item, with </w:t>
      </w:r>
      <w:r w:rsidRPr="0084778E">
        <w:rPr>
          <w:rFonts w:ascii="Times New Roman" w:hAnsi="Times New Roman" w:cs="Times New Roman"/>
          <w:sz w:val="20"/>
          <w:szCs w:val="20"/>
        </w:rPr>
        <w:t>scale levels, numerical values, and interpretation for each level as follows: 5 = strongest agreement (4.50-5.00), 4 = strong agreement (3.50-4.49), 3 = moderate agreement (2.50-3.49), 2 = somewhat agree (1.50-2.49), and 1 = minimal agreement (1.00-1.49).</w:t>
      </w:r>
      <w:r w:rsidRPr="0084778E">
        <w:rPr>
          <w:rFonts w:ascii="Times New Roman" w:hAnsi="Times New Roman" w:cs="Times New Roman"/>
          <w:sz w:val="20"/>
          <w:szCs w:val="20"/>
          <w:lang w:bidi="th-TH"/>
        </w:rPr>
        <w:t xml:space="preserve"> Expert opinions on content and structural validity </w:t>
      </w:r>
      <w:r w:rsidR="00304C08" w:rsidRPr="0084778E">
        <w:rPr>
          <w:rFonts w:ascii="Times New Roman" w:hAnsi="Times New Roman" w:cs="Times New Roman"/>
          <w:sz w:val="20"/>
          <w:szCs w:val="20"/>
          <w:lang w:bidi="th-TH"/>
        </w:rPr>
        <w:t>were</w:t>
      </w:r>
      <w:r w:rsidRPr="0084778E">
        <w:rPr>
          <w:rFonts w:ascii="Times New Roman" w:hAnsi="Times New Roman" w:cs="Times New Roman"/>
          <w:sz w:val="20"/>
          <w:szCs w:val="20"/>
          <w:lang w:bidi="th-TH"/>
        </w:rPr>
        <w:t xml:space="preserve"> assessed through the IOC, yielding values ranging from 0.66 to 1.00, indicating significant agreement.</w:t>
      </w:r>
    </w:p>
    <w:p w14:paraId="72C7C656" w14:textId="77777777" w:rsidR="00A8570B" w:rsidRPr="0084778E" w:rsidRDefault="00A8570B" w:rsidP="00A8570B">
      <w:pPr>
        <w:pStyle w:val="NoSpacing"/>
        <w:spacing w:line="360" w:lineRule="auto"/>
        <w:jc w:val="both"/>
        <w:rPr>
          <w:rFonts w:ascii="Times New Roman" w:hAnsi="Times New Roman" w:cs="Times New Roman"/>
          <w:sz w:val="20"/>
          <w:szCs w:val="20"/>
          <w:lang w:bidi="th-TH"/>
        </w:rPr>
      </w:pPr>
    </w:p>
    <w:p w14:paraId="7510CCA5" w14:textId="77777777" w:rsidR="00A8570B" w:rsidRPr="0084778E" w:rsidRDefault="00000000" w:rsidP="00A8570B">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To analyze the components of digital fluency skills in news for high school students, a second-order confirmatory factor analysis (2nd-order CFA) was conducted using the LISREL 9.10 program. The accuracy of the factor model was interpreted based on specific criteria detailed in </w:t>
      </w:r>
      <w:r w:rsidR="00304C08" w:rsidRPr="0084778E">
        <w:rPr>
          <w:rFonts w:ascii="Times New Roman" w:hAnsi="Times New Roman" w:cs="Times New Roman"/>
          <w:sz w:val="20"/>
          <w:szCs w:val="20"/>
          <w:lang w:bidi="th-TH"/>
        </w:rPr>
        <w:t xml:space="preserve">Figure </w:t>
      </w:r>
      <w:r w:rsidR="0040443F" w:rsidRPr="0084778E">
        <w:rPr>
          <w:rFonts w:ascii="Times New Roman" w:hAnsi="Times New Roman" w:cs="Times New Roman"/>
          <w:sz w:val="20"/>
          <w:szCs w:val="20"/>
          <w:lang w:bidi="th-TH"/>
        </w:rPr>
        <w:t>2</w:t>
      </w:r>
      <w:r w:rsidRPr="0084778E">
        <w:rPr>
          <w:rFonts w:ascii="Times New Roman" w:hAnsi="Times New Roman" w:cs="Times New Roman"/>
          <w:sz w:val="20"/>
          <w:szCs w:val="20"/>
          <w:lang w:bidi="th-TH"/>
        </w:rPr>
        <w:t>, ensuring robustness and validity in the analysis process.</w:t>
      </w:r>
    </w:p>
    <w:p w14:paraId="2087DC71" w14:textId="77777777" w:rsidR="00B00C9C" w:rsidRPr="0084778E" w:rsidRDefault="00B00C9C" w:rsidP="009A28F0">
      <w:pPr>
        <w:pStyle w:val="NoSpacing"/>
        <w:jc w:val="both"/>
        <w:rPr>
          <w:rFonts w:ascii="Times New Roman" w:hAnsi="Times New Roman" w:cs="Times New Roman"/>
          <w:b/>
          <w:bCs/>
          <w:sz w:val="24"/>
          <w:szCs w:val="24"/>
          <w:lang w:bidi="th-TH"/>
        </w:rPr>
      </w:pPr>
    </w:p>
    <w:p w14:paraId="17209054" w14:textId="77777777" w:rsidR="009A28F0" w:rsidRPr="0084778E" w:rsidRDefault="00000000" w:rsidP="009A28F0">
      <w:pPr>
        <w:pStyle w:val="NoSpacing"/>
        <w:jc w:val="both"/>
        <w:rPr>
          <w:rFonts w:ascii="Times New Roman" w:hAnsi="Times New Roman" w:cs="Times New Roman"/>
          <w:b/>
          <w:bCs/>
          <w:sz w:val="24"/>
          <w:szCs w:val="24"/>
        </w:rPr>
      </w:pPr>
      <w:r w:rsidRPr="0084778E">
        <w:rPr>
          <w:rFonts w:ascii="Times New Roman" w:hAnsi="Times New Roman" w:cs="Times New Roman"/>
          <w:b/>
          <w:bCs/>
          <w:sz w:val="24"/>
          <w:szCs w:val="24"/>
          <w:lang w:bidi="th-TH"/>
        </w:rPr>
        <w:t xml:space="preserve">Results </w:t>
      </w:r>
    </w:p>
    <w:p w14:paraId="574D9F9C" w14:textId="77777777" w:rsidR="009A28F0" w:rsidRPr="0084778E" w:rsidRDefault="009A28F0" w:rsidP="009A28F0">
      <w:pPr>
        <w:pStyle w:val="NoSpacing"/>
        <w:jc w:val="thaiDistribute"/>
        <w:rPr>
          <w:rFonts w:ascii="Times New Roman" w:hAnsi="Times New Roman" w:cs="Times New Roman"/>
          <w:sz w:val="20"/>
          <w:szCs w:val="20"/>
          <w:lang w:val="en-US" w:bidi="th-TH"/>
        </w:rPr>
      </w:pPr>
    </w:p>
    <w:p w14:paraId="57F10D3F" w14:textId="3A381707" w:rsidR="009A28F0" w:rsidRPr="0084778E" w:rsidRDefault="00000000" w:rsidP="009A28F0">
      <w:pPr>
        <w:pStyle w:val="NoSpacing"/>
        <w:spacing w:line="360" w:lineRule="auto"/>
        <w:jc w:val="thaiDistribute"/>
        <w:rPr>
          <w:rFonts w:ascii="Times New Roman" w:hAnsi="Times New Roman" w:cs="Times New Roman"/>
          <w:sz w:val="20"/>
          <w:szCs w:val="20"/>
          <w:shd w:val="clear" w:color="auto" w:fill="FFFFFF"/>
          <w:lang w:bidi="th-TH"/>
        </w:rPr>
      </w:pPr>
      <w:r w:rsidRPr="0084778E">
        <w:rPr>
          <w:rFonts w:ascii="Times New Roman" w:hAnsi="Times New Roman" w:cs="Times New Roman"/>
          <w:sz w:val="20"/>
          <w:szCs w:val="20"/>
          <w:shd w:val="clear" w:color="auto" w:fill="FFFFFF"/>
          <w:lang w:bidi="th-TH"/>
        </w:rPr>
        <w:t xml:space="preserve">Table </w:t>
      </w:r>
      <w:r w:rsidR="00DC2ABC">
        <w:rPr>
          <w:rFonts w:ascii="Times New Roman" w:hAnsi="Times New Roman" w:cs="Times New Roman"/>
          <w:sz w:val="20"/>
          <w:szCs w:val="20"/>
          <w:shd w:val="clear" w:color="auto" w:fill="FFFFFF"/>
          <w:lang w:bidi="th-TH"/>
        </w:rPr>
        <w:t>3</w:t>
      </w:r>
      <w:r w:rsidRPr="0084778E">
        <w:rPr>
          <w:rFonts w:ascii="Times New Roman" w:hAnsi="Times New Roman" w:cs="Times New Roman"/>
          <w:sz w:val="20"/>
          <w:szCs w:val="20"/>
          <w:shd w:val="clear" w:color="auto" w:fill="FFFFFF"/>
          <w:lang w:bidi="th-TH"/>
        </w:rPr>
        <w:t xml:space="preserve"> presents a comprehensive overview of the demographic characteristics of the respondents who participated in the questionnaire. The majority of the sample respondents were female, accounting for 62.99% of the total. Regarding age distribution, 40.40% of the respondents were under 30 years old, while 42.09% fell within the 30-40 age bracket. Those aged 41 years and above constituted 17.51% of the sample.</w:t>
      </w:r>
      <w:r w:rsidR="00304C08" w:rsidRPr="0084778E">
        <w:rPr>
          <w:rFonts w:ascii="Times New Roman" w:hAnsi="Times New Roman" w:cs="Times New Roman"/>
          <w:sz w:val="20"/>
          <w:szCs w:val="20"/>
          <w:shd w:val="clear" w:color="auto" w:fill="FFFFFF"/>
          <w:lang w:bidi="th-TH"/>
        </w:rPr>
        <w:t xml:space="preserve"> </w:t>
      </w:r>
      <w:r w:rsidRPr="0084778E">
        <w:rPr>
          <w:rFonts w:ascii="Times New Roman" w:hAnsi="Times New Roman" w:cs="Times New Roman"/>
          <w:sz w:val="20"/>
          <w:szCs w:val="20"/>
          <w:shd w:val="clear" w:color="auto" w:fill="FFFFFF"/>
          <w:lang w:bidi="th-TH"/>
        </w:rPr>
        <w:t>In terms of teaching experience, the distribution was as follows: 32.20% had less than 5 years of experience, 28.25% had 5-10 years of experience, and the largest proportion, 39.55%, had been teaching for 11-15 years.</w:t>
      </w:r>
      <w:r w:rsidR="00304C08" w:rsidRPr="0084778E">
        <w:rPr>
          <w:rFonts w:ascii="Times New Roman" w:hAnsi="Times New Roman" w:cs="Times New Roman"/>
          <w:sz w:val="20"/>
          <w:szCs w:val="20"/>
          <w:shd w:val="clear" w:color="auto" w:fill="FFFFFF"/>
          <w:lang w:bidi="th-TH"/>
        </w:rPr>
        <w:t xml:space="preserve"> </w:t>
      </w:r>
      <w:r w:rsidRPr="0084778E">
        <w:rPr>
          <w:rFonts w:ascii="Times New Roman" w:hAnsi="Times New Roman" w:cs="Times New Roman"/>
          <w:sz w:val="20"/>
          <w:szCs w:val="20"/>
          <w:shd w:val="clear" w:color="auto" w:fill="FFFFFF"/>
          <w:lang w:bidi="th-TH"/>
        </w:rPr>
        <w:t>Regarding the highest level of education attained, 68.93% of the respondents held a bachelor's degree, while 31.07% had a postgraduate degree.</w:t>
      </w:r>
    </w:p>
    <w:p w14:paraId="5596011A" w14:textId="77777777" w:rsidR="009A28F0" w:rsidRPr="0084778E" w:rsidRDefault="00000000" w:rsidP="009A28F0">
      <w:pPr>
        <w:pStyle w:val="NoSpacing"/>
        <w:spacing w:line="360" w:lineRule="auto"/>
        <w:jc w:val="center"/>
        <w:rPr>
          <w:rFonts w:ascii="Times New Roman" w:hAnsi="Times New Roman" w:cs="Times New Roman"/>
          <w:i/>
          <w:iCs/>
          <w:sz w:val="20"/>
          <w:szCs w:val="20"/>
          <w:lang w:val="en-US" w:bidi="th-TH"/>
        </w:rPr>
      </w:pPr>
      <w:r w:rsidRPr="0084778E">
        <w:rPr>
          <w:rFonts w:ascii="Times New Roman" w:hAnsi="Times New Roman" w:cs="Times New Roman"/>
          <w:sz w:val="20"/>
          <w:szCs w:val="20"/>
          <w:shd w:val="clear" w:color="auto" w:fill="FFFFFF"/>
          <w:lang w:bidi="th-TH"/>
        </w:rPr>
        <w:t>Table 3.</w:t>
      </w:r>
      <w:r w:rsidRPr="0084778E">
        <w:rPr>
          <w:rFonts w:ascii="Times New Roman" w:hAnsi="Times New Roman" w:cs="Times New Roman"/>
          <w:b/>
          <w:bCs/>
          <w:sz w:val="20"/>
          <w:szCs w:val="20"/>
          <w:shd w:val="clear" w:color="auto" w:fill="FFFFFF"/>
          <w:lang w:bidi="th-TH"/>
        </w:rPr>
        <w:t xml:space="preserve"> </w:t>
      </w:r>
      <w:r w:rsidR="00304C08" w:rsidRPr="0084778E">
        <w:rPr>
          <w:rFonts w:ascii="Times New Roman" w:hAnsi="Times New Roman" w:cs="Times New Roman"/>
          <w:sz w:val="20"/>
          <w:szCs w:val="20"/>
          <w:shd w:val="clear" w:color="auto" w:fill="FFFFFF"/>
          <w:lang w:bidi="th-TH"/>
        </w:rPr>
        <w:t>Q</w:t>
      </w:r>
      <w:r w:rsidRPr="0084778E">
        <w:rPr>
          <w:rFonts w:ascii="Times New Roman" w:hAnsi="Times New Roman" w:cs="Times New Roman"/>
          <w:sz w:val="20"/>
          <w:szCs w:val="20"/>
          <w:shd w:val="clear" w:color="auto" w:fill="FFFFFF"/>
          <w:lang w:bidi="th-TH"/>
        </w:rPr>
        <w:t>uestionnaire’</w:t>
      </w:r>
      <w:r w:rsidR="00304C08" w:rsidRPr="0084778E">
        <w:rPr>
          <w:rFonts w:ascii="Times New Roman" w:hAnsi="Times New Roman" w:cs="Times New Roman"/>
          <w:sz w:val="20"/>
          <w:szCs w:val="20"/>
          <w:shd w:val="clear" w:color="auto" w:fill="FFFFFF"/>
          <w:lang w:bidi="th-TH"/>
        </w:rPr>
        <w:t>s</w:t>
      </w:r>
      <w:r w:rsidRPr="0084778E">
        <w:rPr>
          <w:rFonts w:ascii="Times New Roman" w:hAnsi="Times New Roman" w:cs="Times New Roman"/>
          <w:sz w:val="20"/>
          <w:szCs w:val="20"/>
          <w:shd w:val="clear" w:color="auto" w:fill="FFFFFF"/>
          <w:lang w:bidi="th-TH"/>
        </w:rPr>
        <w:t xml:space="preserve"> general information items (</w:t>
      </w:r>
      <w:r w:rsidRPr="0084778E">
        <w:rPr>
          <w:rFonts w:ascii="Times New Roman" w:hAnsi="Times New Roman" w:cs="Times New Roman"/>
          <w:i/>
          <w:iCs/>
          <w:sz w:val="20"/>
          <w:szCs w:val="20"/>
          <w:shd w:val="clear" w:color="auto" w:fill="FFFFFF"/>
          <w:lang w:bidi="th-TH"/>
        </w:rPr>
        <w:t>n</w:t>
      </w:r>
      <w:r w:rsidRPr="0084778E">
        <w:rPr>
          <w:rFonts w:ascii="Times New Roman" w:hAnsi="Times New Roman" w:cs="Times New Roman"/>
          <w:sz w:val="20"/>
          <w:szCs w:val="20"/>
          <w:shd w:val="clear" w:color="auto" w:fill="FFFFFF"/>
          <w:lang w:bidi="th-TH"/>
        </w:rPr>
        <w:t>=354)</w:t>
      </w:r>
    </w:p>
    <w:tbl>
      <w:tblPr>
        <w:tblStyle w:val="TableGrid"/>
        <w:tblW w:w="2327"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052"/>
        <w:gridCol w:w="919"/>
      </w:tblGrid>
      <w:tr w:rsidR="00FE5EC8" w14:paraId="37957D60" w14:textId="77777777" w:rsidTr="009A28F0">
        <w:trPr>
          <w:tblHeader/>
          <w:jc w:val="center"/>
        </w:trPr>
        <w:tc>
          <w:tcPr>
            <w:tcW w:w="2654" w:type="pct"/>
            <w:tcBorders>
              <w:top w:val="single" w:sz="4" w:space="0" w:color="auto"/>
              <w:bottom w:val="single" w:sz="4" w:space="0" w:color="auto"/>
            </w:tcBorders>
          </w:tcPr>
          <w:p w14:paraId="76B52CC4" w14:textId="77777777" w:rsidR="009A28F0"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rPr>
              <w:t>General information</w:t>
            </w:r>
          </w:p>
        </w:tc>
        <w:tc>
          <w:tcPr>
            <w:tcW w:w="1252" w:type="pct"/>
            <w:tcBorders>
              <w:top w:val="single" w:sz="4" w:space="0" w:color="auto"/>
              <w:bottom w:val="single" w:sz="4" w:space="0" w:color="auto"/>
            </w:tcBorders>
          </w:tcPr>
          <w:p w14:paraId="1F8351BE" w14:textId="77777777" w:rsidR="009A28F0"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Teachers</w:t>
            </w:r>
          </w:p>
        </w:tc>
        <w:tc>
          <w:tcPr>
            <w:tcW w:w="1094" w:type="pct"/>
            <w:tcBorders>
              <w:top w:val="single" w:sz="4" w:space="0" w:color="auto"/>
              <w:bottom w:val="single" w:sz="4" w:space="0" w:color="auto"/>
            </w:tcBorders>
          </w:tcPr>
          <w:p w14:paraId="0BE3A74A" w14:textId="77777777" w:rsidR="009A28F0"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shd w:val="clear" w:color="auto" w:fill="FFFFFF"/>
                <w:lang w:bidi="th-TH"/>
              </w:rPr>
              <w:t>%</w:t>
            </w:r>
          </w:p>
        </w:tc>
      </w:tr>
      <w:tr w:rsidR="00FE5EC8" w14:paraId="624B274A" w14:textId="77777777" w:rsidTr="009A28F0">
        <w:trPr>
          <w:jc w:val="center"/>
        </w:trPr>
        <w:tc>
          <w:tcPr>
            <w:tcW w:w="2654" w:type="pct"/>
            <w:tcBorders>
              <w:top w:val="single" w:sz="4" w:space="0" w:color="auto"/>
            </w:tcBorders>
          </w:tcPr>
          <w:p w14:paraId="7CF7AE41" w14:textId="77777777" w:rsidR="009A28F0" w:rsidRPr="0084778E" w:rsidRDefault="00000000" w:rsidP="00744DFA">
            <w:pPr>
              <w:pStyle w:val="NoSpacing"/>
              <w:rPr>
                <w:rFonts w:ascii="Times New Roman" w:hAnsi="Times New Roman" w:cs="Times New Roman"/>
                <w:b/>
                <w:bCs/>
                <w:sz w:val="20"/>
                <w:szCs w:val="20"/>
                <w:cs/>
                <w:lang w:val="en-US" w:bidi="th-TH"/>
              </w:rPr>
            </w:pPr>
            <w:r w:rsidRPr="0084778E">
              <w:rPr>
                <w:rFonts w:ascii="Times New Roman" w:hAnsi="Times New Roman" w:cs="Times New Roman"/>
                <w:sz w:val="20"/>
                <w:szCs w:val="20"/>
              </w:rPr>
              <w:t>Gender</w:t>
            </w:r>
          </w:p>
        </w:tc>
        <w:tc>
          <w:tcPr>
            <w:tcW w:w="1252" w:type="pct"/>
            <w:tcBorders>
              <w:top w:val="single" w:sz="4" w:space="0" w:color="auto"/>
            </w:tcBorders>
          </w:tcPr>
          <w:p w14:paraId="44E4E069"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c>
          <w:tcPr>
            <w:tcW w:w="1094" w:type="pct"/>
            <w:tcBorders>
              <w:top w:val="single" w:sz="4" w:space="0" w:color="auto"/>
            </w:tcBorders>
          </w:tcPr>
          <w:p w14:paraId="1B81EC18"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r>
      <w:tr w:rsidR="00FE5EC8" w14:paraId="1DDF3FA7" w14:textId="77777777" w:rsidTr="009A28F0">
        <w:trPr>
          <w:jc w:val="center"/>
        </w:trPr>
        <w:tc>
          <w:tcPr>
            <w:tcW w:w="2654" w:type="pct"/>
          </w:tcPr>
          <w:p w14:paraId="782F222A" w14:textId="77777777" w:rsidR="009A28F0" w:rsidRPr="0084778E" w:rsidRDefault="00000000" w:rsidP="00744DFA">
            <w:pPr>
              <w:pStyle w:val="NoSpacing"/>
              <w:rPr>
                <w:rFonts w:ascii="Times New Roman" w:hAnsi="Times New Roman" w:cs="Times New Roman"/>
                <w:sz w:val="20"/>
                <w:szCs w:val="20"/>
                <w:cs/>
                <w:lang w:val="en-US" w:bidi="th-TH"/>
              </w:rPr>
            </w:pPr>
            <w:r w:rsidRPr="0084778E">
              <w:rPr>
                <w:rFonts w:ascii="Times New Roman" w:hAnsi="Times New Roman" w:cs="Times New Roman"/>
                <w:sz w:val="20"/>
                <w:szCs w:val="20"/>
              </w:rPr>
              <w:t xml:space="preserve">  - man</w:t>
            </w:r>
          </w:p>
        </w:tc>
        <w:tc>
          <w:tcPr>
            <w:tcW w:w="1252" w:type="pct"/>
          </w:tcPr>
          <w:p w14:paraId="433E8EC2"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131</w:t>
            </w:r>
          </w:p>
        </w:tc>
        <w:tc>
          <w:tcPr>
            <w:tcW w:w="1094" w:type="pct"/>
          </w:tcPr>
          <w:p w14:paraId="51F778B9"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37.01</w:t>
            </w:r>
          </w:p>
        </w:tc>
      </w:tr>
      <w:tr w:rsidR="00FE5EC8" w14:paraId="741FA1F7" w14:textId="77777777" w:rsidTr="009A28F0">
        <w:trPr>
          <w:jc w:val="center"/>
        </w:trPr>
        <w:tc>
          <w:tcPr>
            <w:tcW w:w="2654" w:type="pct"/>
          </w:tcPr>
          <w:p w14:paraId="1899B978" w14:textId="77777777" w:rsidR="009A28F0" w:rsidRPr="0084778E" w:rsidRDefault="00000000" w:rsidP="00744DFA">
            <w:pPr>
              <w:pStyle w:val="NoSpacing"/>
              <w:rPr>
                <w:rFonts w:ascii="Times New Roman" w:hAnsi="Times New Roman" w:cs="Times New Roman"/>
                <w:sz w:val="20"/>
                <w:szCs w:val="20"/>
                <w:cs/>
                <w:lang w:val="en-US" w:bidi="th-TH"/>
              </w:rPr>
            </w:pPr>
            <w:r w:rsidRPr="0084778E">
              <w:rPr>
                <w:rFonts w:ascii="Times New Roman" w:hAnsi="Times New Roman" w:cs="Times New Roman"/>
                <w:sz w:val="20"/>
                <w:szCs w:val="20"/>
              </w:rPr>
              <w:t xml:space="preserve">  - female</w:t>
            </w:r>
          </w:p>
        </w:tc>
        <w:tc>
          <w:tcPr>
            <w:tcW w:w="1252" w:type="pct"/>
          </w:tcPr>
          <w:p w14:paraId="5C6CF53A"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223</w:t>
            </w:r>
          </w:p>
        </w:tc>
        <w:tc>
          <w:tcPr>
            <w:tcW w:w="1094" w:type="pct"/>
          </w:tcPr>
          <w:p w14:paraId="5B089A98"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62.99</w:t>
            </w:r>
          </w:p>
        </w:tc>
      </w:tr>
      <w:tr w:rsidR="00FE5EC8" w14:paraId="08F71B24" w14:textId="77777777" w:rsidTr="009A28F0">
        <w:trPr>
          <w:jc w:val="center"/>
        </w:trPr>
        <w:tc>
          <w:tcPr>
            <w:tcW w:w="2654" w:type="pct"/>
          </w:tcPr>
          <w:p w14:paraId="7C957E62" w14:textId="77777777" w:rsidR="009A28F0" w:rsidRPr="0084778E" w:rsidRDefault="00000000" w:rsidP="00744DFA">
            <w:pPr>
              <w:pStyle w:val="NoSpacing"/>
              <w:rPr>
                <w:rFonts w:ascii="Times New Roman" w:hAnsi="Times New Roman" w:cs="Times New Roman"/>
                <w:b/>
                <w:bCs/>
                <w:sz w:val="20"/>
                <w:szCs w:val="20"/>
                <w:cs/>
                <w:lang w:val="en-US" w:bidi="th-TH"/>
              </w:rPr>
            </w:pPr>
            <w:r w:rsidRPr="0084778E">
              <w:rPr>
                <w:rFonts w:ascii="Times New Roman" w:hAnsi="Times New Roman" w:cs="Times New Roman"/>
                <w:sz w:val="20"/>
                <w:szCs w:val="20"/>
              </w:rPr>
              <w:t>Age</w:t>
            </w:r>
          </w:p>
        </w:tc>
        <w:tc>
          <w:tcPr>
            <w:tcW w:w="1252" w:type="pct"/>
          </w:tcPr>
          <w:p w14:paraId="0E1E66F9"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c>
          <w:tcPr>
            <w:tcW w:w="1094" w:type="pct"/>
          </w:tcPr>
          <w:p w14:paraId="3F610B31"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r>
      <w:tr w:rsidR="00FE5EC8" w14:paraId="3EE38DB0" w14:textId="77777777" w:rsidTr="009A28F0">
        <w:trPr>
          <w:jc w:val="center"/>
        </w:trPr>
        <w:tc>
          <w:tcPr>
            <w:tcW w:w="2654" w:type="pct"/>
          </w:tcPr>
          <w:p w14:paraId="0AD8DA5F"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Under 30 years old</w:t>
            </w:r>
          </w:p>
        </w:tc>
        <w:tc>
          <w:tcPr>
            <w:tcW w:w="1252" w:type="pct"/>
          </w:tcPr>
          <w:p w14:paraId="3C3E1B05"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143</w:t>
            </w:r>
          </w:p>
        </w:tc>
        <w:tc>
          <w:tcPr>
            <w:tcW w:w="1094" w:type="pct"/>
          </w:tcPr>
          <w:p w14:paraId="359F649C"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40.40</w:t>
            </w:r>
          </w:p>
        </w:tc>
      </w:tr>
      <w:tr w:rsidR="00FE5EC8" w14:paraId="17691B97" w14:textId="77777777" w:rsidTr="009A28F0">
        <w:trPr>
          <w:jc w:val="center"/>
        </w:trPr>
        <w:tc>
          <w:tcPr>
            <w:tcW w:w="2654" w:type="pct"/>
          </w:tcPr>
          <w:p w14:paraId="3ABF6AAF"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- 30-40 years</w:t>
            </w:r>
          </w:p>
        </w:tc>
        <w:tc>
          <w:tcPr>
            <w:tcW w:w="1252" w:type="pct"/>
          </w:tcPr>
          <w:p w14:paraId="5C6C9BEE"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149</w:t>
            </w:r>
          </w:p>
        </w:tc>
        <w:tc>
          <w:tcPr>
            <w:tcW w:w="1094" w:type="pct"/>
          </w:tcPr>
          <w:p w14:paraId="4DA6E9EE"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42.09</w:t>
            </w:r>
          </w:p>
        </w:tc>
      </w:tr>
      <w:tr w:rsidR="00FE5EC8" w14:paraId="57F30D09" w14:textId="77777777" w:rsidTr="009A28F0">
        <w:trPr>
          <w:jc w:val="center"/>
        </w:trPr>
        <w:tc>
          <w:tcPr>
            <w:tcW w:w="2654" w:type="pct"/>
          </w:tcPr>
          <w:p w14:paraId="36543850"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- 41 years and above</w:t>
            </w:r>
          </w:p>
        </w:tc>
        <w:tc>
          <w:tcPr>
            <w:tcW w:w="1252" w:type="pct"/>
          </w:tcPr>
          <w:p w14:paraId="58012157"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62</w:t>
            </w:r>
          </w:p>
        </w:tc>
        <w:tc>
          <w:tcPr>
            <w:tcW w:w="1094" w:type="pct"/>
          </w:tcPr>
          <w:p w14:paraId="3E68DD00"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17.51</w:t>
            </w:r>
          </w:p>
        </w:tc>
      </w:tr>
      <w:tr w:rsidR="00FE5EC8" w14:paraId="266370D9" w14:textId="77777777" w:rsidTr="009A28F0">
        <w:trPr>
          <w:jc w:val="center"/>
        </w:trPr>
        <w:tc>
          <w:tcPr>
            <w:tcW w:w="2654" w:type="pct"/>
          </w:tcPr>
          <w:p w14:paraId="2247E96A"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Teaching experience</w:t>
            </w:r>
          </w:p>
        </w:tc>
        <w:tc>
          <w:tcPr>
            <w:tcW w:w="1252" w:type="pct"/>
          </w:tcPr>
          <w:p w14:paraId="3BD24480"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c>
          <w:tcPr>
            <w:tcW w:w="1094" w:type="pct"/>
          </w:tcPr>
          <w:p w14:paraId="0C9AB6CC"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r>
      <w:tr w:rsidR="00FE5EC8" w14:paraId="577EDE78" w14:textId="77777777" w:rsidTr="009A28F0">
        <w:trPr>
          <w:jc w:val="center"/>
        </w:trPr>
        <w:tc>
          <w:tcPr>
            <w:tcW w:w="2654" w:type="pct"/>
          </w:tcPr>
          <w:p w14:paraId="4FED0C46"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less than 5 years</w:t>
            </w:r>
          </w:p>
        </w:tc>
        <w:tc>
          <w:tcPr>
            <w:tcW w:w="1252" w:type="pct"/>
          </w:tcPr>
          <w:p w14:paraId="53FCB24B"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114</w:t>
            </w:r>
          </w:p>
        </w:tc>
        <w:tc>
          <w:tcPr>
            <w:tcW w:w="1094" w:type="pct"/>
          </w:tcPr>
          <w:p w14:paraId="2050D16C"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32.20</w:t>
            </w:r>
          </w:p>
        </w:tc>
      </w:tr>
      <w:tr w:rsidR="00FE5EC8" w14:paraId="0FF3D7FB" w14:textId="77777777" w:rsidTr="009A28F0">
        <w:trPr>
          <w:jc w:val="center"/>
        </w:trPr>
        <w:tc>
          <w:tcPr>
            <w:tcW w:w="2654" w:type="pct"/>
          </w:tcPr>
          <w:p w14:paraId="39299150"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- 5 - 10 years</w:t>
            </w:r>
          </w:p>
        </w:tc>
        <w:tc>
          <w:tcPr>
            <w:tcW w:w="1252" w:type="pct"/>
          </w:tcPr>
          <w:p w14:paraId="0AB87D3D"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100</w:t>
            </w:r>
          </w:p>
        </w:tc>
        <w:tc>
          <w:tcPr>
            <w:tcW w:w="1094" w:type="pct"/>
          </w:tcPr>
          <w:p w14:paraId="62A93219"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28.25</w:t>
            </w:r>
          </w:p>
        </w:tc>
      </w:tr>
      <w:tr w:rsidR="00FE5EC8" w14:paraId="73CFCC0E" w14:textId="77777777" w:rsidTr="009A28F0">
        <w:trPr>
          <w:jc w:val="center"/>
        </w:trPr>
        <w:tc>
          <w:tcPr>
            <w:tcW w:w="2654" w:type="pct"/>
          </w:tcPr>
          <w:p w14:paraId="18B16512"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- 11 - 15 years</w:t>
            </w:r>
          </w:p>
        </w:tc>
        <w:tc>
          <w:tcPr>
            <w:tcW w:w="1252" w:type="pct"/>
          </w:tcPr>
          <w:p w14:paraId="687F0F72"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140</w:t>
            </w:r>
          </w:p>
        </w:tc>
        <w:tc>
          <w:tcPr>
            <w:tcW w:w="1094" w:type="pct"/>
          </w:tcPr>
          <w:p w14:paraId="6D80732F"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39.55</w:t>
            </w:r>
          </w:p>
        </w:tc>
      </w:tr>
      <w:tr w:rsidR="00FE5EC8" w14:paraId="271A21EE" w14:textId="77777777" w:rsidTr="009A28F0">
        <w:trPr>
          <w:jc w:val="center"/>
        </w:trPr>
        <w:tc>
          <w:tcPr>
            <w:tcW w:w="2654" w:type="pct"/>
          </w:tcPr>
          <w:p w14:paraId="05D42A34" w14:textId="77777777" w:rsidR="009A28F0" w:rsidRPr="0084778E" w:rsidRDefault="00000000" w:rsidP="00744DFA">
            <w:pPr>
              <w:pStyle w:val="NoSpacing"/>
              <w:rPr>
                <w:rFonts w:ascii="Times New Roman" w:hAnsi="Times New Roman" w:cs="Times New Roman"/>
                <w:sz w:val="20"/>
                <w:szCs w:val="20"/>
                <w:cs/>
                <w:lang w:val="en-US" w:bidi="th-TH"/>
              </w:rPr>
            </w:pPr>
            <w:r w:rsidRPr="0084778E">
              <w:rPr>
                <w:rFonts w:ascii="Times New Roman" w:hAnsi="Times New Roman" w:cs="Times New Roman"/>
                <w:sz w:val="20"/>
                <w:szCs w:val="20"/>
              </w:rPr>
              <w:t>Highest level of education</w:t>
            </w:r>
          </w:p>
        </w:tc>
        <w:tc>
          <w:tcPr>
            <w:tcW w:w="1252" w:type="pct"/>
          </w:tcPr>
          <w:p w14:paraId="3763BCC5"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c>
          <w:tcPr>
            <w:tcW w:w="1094" w:type="pct"/>
          </w:tcPr>
          <w:p w14:paraId="084DAE08" w14:textId="77777777" w:rsidR="009A28F0" w:rsidRPr="0084778E" w:rsidRDefault="009A28F0" w:rsidP="00744DFA">
            <w:pPr>
              <w:pStyle w:val="NoSpacing"/>
              <w:jc w:val="thaiDistribute"/>
              <w:rPr>
                <w:rFonts w:ascii="Times New Roman" w:hAnsi="Times New Roman" w:cs="Times New Roman"/>
                <w:sz w:val="20"/>
                <w:szCs w:val="20"/>
                <w:lang w:val="en-US" w:bidi="th-TH"/>
              </w:rPr>
            </w:pPr>
          </w:p>
        </w:tc>
      </w:tr>
      <w:tr w:rsidR="00FE5EC8" w14:paraId="65CF2A02" w14:textId="77777777" w:rsidTr="009A28F0">
        <w:trPr>
          <w:jc w:val="center"/>
        </w:trPr>
        <w:tc>
          <w:tcPr>
            <w:tcW w:w="2654" w:type="pct"/>
          </w:tcPr>
          <w:p w14:paraId="309463B4"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Bachelor's degree</w:t>
            </w:r>
          </w:p>
        </w:tc>
        <w:tc>
          <w:tcPr>
            <w:tcW w:w="1252" w:type="pct"/>
          </w:tcPr>
          <w:p w14:paraId="47C1CBBA"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244</w:t>
            </w:r>
          </w:p>
        </w:tc>
        <w:tc>
          <w:tcPr>
            <w:tcW w:w="1094" w:type="pct"/>
          </w:tcPr>
          <w:p w14:paraId="70B18884"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68.93</w:t>
            </w:r>
          </w:p>
        </w:tc>
      </w:tr>
      <w:tr w:rsidR="00FE5EC8" w14:paraId="57A20B4C" w14:textId="77777777" w:rsidTr="009A28F0">
        <w:trPr>
          <w:jc w:val="center"/>
        </w:trPr>
        <w:tc>
          <w:tcPr>
            <w:tcW w:w="2654" w:type="pct"/>
          </w:tcPr>
          <w:p w14:paraId="578B8AE2" w14:textId="77777777" w:rsidR="009A28F0"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 xml:space="preserve">  - Postgraduate degree</w:t>
            </w:r>
          </w:p>
        </w:tc>
        <w:tc>
          <w:tcPr>
            <w:tcW w:w="1252" w:type="pct"/>
          </w:tcPr>
          <w:p w14:paraId="1F5BD91E"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110</w:t>
            </w:r>
          </w:p>
        </w:tc>
        <w:tc>
          <w:tcPr>
            <w:tcW w:w="1094" w:type="pct"/>
          </w:tcPr>
          <w:p w14:paraId="21A525A6" w14:textId="77777777" w:rsidR="009A28F0"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31.07</w:t>
            </w:r>
          </w:p>
        </w:tc>
      </w:tr>
    </w:tbl>
    <w:p w14:paraId="7E985313" w14:textId="77777777" w:rsidR="009A28F0" w:rsidRPr="0084778E" w:rsidRDefault="009A28F0" w:rsidP="009A28F0">
      <w:pPr>
        <w:pStyle w:val="NoSpacing"/>
        <w:jc w:val="thaiDistribute"/>
        <w:rPr>
          <w:rFonts w:ascii="Tahoma" w:hAnsi="Tahoma" w:cs="Tahoma"/>
          <w:cs/>
          <w:lang w:val="en-US" w:bidi="th-TH"/>
        </w:rPr>
      </w:pPr>
    </w:p>
    <w:p w14:paraId="34B7F265" w14:textId="77777777" w:rsidR="009A28F0" w:rsidRPr="0084778E" w:rsidRDefault="00000000" w:rsidP="009A28F0">
      <w:pPr>
        <w:pStyle w:val="NoSpacing"/>
        <w:jc w:val="thaiDistribute"/>
        <w:rPr>
          <w:rFonts w:ascii="Tahoma" w:hAnsi="Tahoma" w:cs="Tahoma"/>
          <w:cs/>
          <w:lang w:bidi="th-TH"/>
        </w:rPr>
      </w:pPr>
      <w:r w:rsidRPr="0084778E">
        <w:rPr>
          <w:rFonts w:ascii="Tahoma" w:hAnsi="Tahoma" w:cs="Tahoma"/>
          <w:cs/>
          <w:lang w:bidi="th-TH"/>
        </w:rPr>
        <w:lastRenderedPageBreak/>
        <w:tab/>
      </w:r>
    </w:p>
    <w:p w14:paraId="0FDAD526" w14:textId="2E4D34EE" w:rsidR="00304C08" w:rsidRPr="0084778E" w:rsidRDefault="00000000" w:rsidP="00304C08">
      <w:pPr>
        <w:pStyle w:val="NoSpacing"/>
        <w:spacing w:line="360" w:lineRule="auto"/>
        <w:jc w:val="thaiDistribute"/>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The data presented in Tables </w:t>
      </w:r>
      <w:r w:rsidR="00DC2ABC">
        <w:rPr>
          <w:rFonts w:ascii="Times New Roman" w:hAnsi="Times New Roman" w:cs="Times New Roman"/>
          <w:sz w:val="20"/>
          <w:szCs w:val="20"/>
          <w:lang w:bidi="th-TH"/>
        </w:rPr>
        <w:t>4</w:t>
      </w:r>
      <w:r w:rsidRPr="0084778E">
        <w:rPr>
          <w:rFonts w:ascii="Times New Roman" w:hAnsi="Times New Roman" w:cs="Times New Roman"/>
          <w:sz w:val="20"/>
          <w:szCs w:val="20"/>
          <w:lang w:bidi="th-TH"/>
        </w:rPr>
        <w:t xml:space="preserve"> and</w:t>
      </w:r>
      <w:r w:rsidR="00DC2ABC">
        <w:rPr>
          <w:rFonts w:ascii="Times New Roman" w:hAnsi="Times New Roman" w:cs="Times New Roman"/>
          <w:sz w:val="20"/>
          <w:szCs w:val="20"/>
          <w:lang w:bidi="th-TH"/>
        </w:rPr>
        <w:t>5</w:t>
      </w:r>
      <w:r w:rsidRPr="0084778E">
        <w:rPr>
          <w:rFonts w:ascii="Times New Roman" w:hAnsi="Times New Roman" w:cs="Times New Roman"/>
          <w:sz w:val="20"/>
          <w:szCs w:val="20"/>
          <w:lang w:bidi="th-TH"/>
        </w:rPr>
        <w:t xml:space="preserve"> sheds light on the digital fluency skills of high school students regarding news consumption and their interrelationships, providing valuable insights into the efficacy of current educational practices and the potential for further enhancement.</w:t>
      </w:r>
    </w:p>
    <w:p w14:paraId="592FDF15" w14:textId="77777777" w:rsidR="00304C08" w:rsidRPr="0084778E" w:rsidRDefault="00304C08" w:rsidP="00304C08">
      <w:pPr>
        <w:pStyle w:val="NoSpacing"/>
        <w:spacing w:line="360" w:lineRule="auto"/>
        <w:jc w:val="thaiDistribute"/>
        <w:rPr>
          <w:rFonts w:ascii="Times New Roman" w:hAnsi="Times New Roman" w:cs="Times New Roman"/>
          <w:sz w:val="20"/>
          <w:szCs w:val="20"/>
          <w:lang w:bidi="th-TH"/>
        </w:rPr>
      </w:pPr>
    </w:p>
    <w:p w14:paraId="1C8DFF06" w14:textId="0F7C4D34" w:rsidR="00304C08" w:rsidRPr="0084778E" w:rsidRDefault="00000000" w:rsidP="00304C08">
      <w:pPr>
        <w:pStyle w:val="NoSpacing"/>
        <w:spacing w:line="360" w:lineRule="auto"/>
        <w:jc w:val="thaiDistribute"/>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From Table </w:t>
      </w:r>
      <w:r w:rsidR="00DC2ABC">
        <w:rPr>
          <w:rFonts w:ascii="Times New Roman" w:hAnsi="Times New Roman" w:cs="Times New Roman"/>
          <w:sz w:val="20"/>
          <w:szCs w:val="20"/>
          <w:lang w:bidi="th-TH"/>
        </w:rPr>
        <w:t>4</w:t>
      </w:r>
      <w:r w:rsidRPr="0084778E">
        <w:rPr>
          <w:rFonts w:ascii="Times New Roman" w:hAnsi="Times New Roman" w:cs="Times New Roman"/>
          <w:sz w:val="20"/>
          <w:szCs w:val="20"/>
          <w:lang w:bidi="th-TH"/>
        </w:rPr>
        <w:t xml:space="preserve">, it is evident that technology teachers perceive high school students to possess high levels of </w:t>
      </w:r>
      <w:r w:rsidR="00DC2ABC">
        <w:rPr>
          <w:rFonts w:ascii="Times New Roman" w:hAnsi="Times New Roman" w:cs="Times New Roman"/>
          <w:sz w:val="20"/>
          <w:szCs w:val="20"/>
          <w:lang w:bidi="th-TH"/>
        </w:rPr>
        <w:t xml:space="preserve">DIF </w:t>
      </w:r>
      <w:r w:rsidRPr="0084778E">
        <w:rPr>
          <w:rFonts w:ascii="Times New Roman" w:hAnsi="Times New Roman" w:cs="Times New Roman"/>
          <w:sz w:val="20"/>
          <w:szCs w:val="20"/>
          <w:lang w:bidi="th-TH"/>
        </w:rPr>
        <w:t>skills, with all indicators scoring at the highest levels of agreement. Notably, digital information management emerged as the component with the highest mean value, indicating that students excel in tasks such as specifying required information, evaluating data, and adjusting data formats. Similarly, digital data communication and literacy components also scored highly, emphasizing students' proficiency in selecting software, using digital technology to collaborate online, and applying data ethically. These findings underscore the effectiveness of current educational strategies in equipping students with essential digital literacy skills, crucial for navigating the information-rich digital landscape.</w:t>
      </w:r>
    </w:p>
    <w:p w14:paraId="0E7D4D38" w14:textId="77777777" w:rsidR="00304C08" w:rsidRPr="0084778E" w:rsidRDefault="00304C08" w:rsidP="00304C08">
      <w:pPr>
        <w:pStyle w:val="NoSpacing"/>
        <w:spacing w:line="360" w:lineRule="auto"/>
        <w:jc w:val="thaiDistribute"/>
        <w:rPr>
          <w:rFonts w:ascii="Times New Roman" w:hAnsi="Times New Roman" w:cs="Times New Roman"/>
          <w:sz w:val="20"/>
          <w:szCs w:val="20"/>
          <w:lang w:bidi="th-TH"/>
        </w:rPr>
      </w:pPr>
    </w:p>
    <w:p w14:paraId="78080E1E" w14:textId="77777777" w:rsidR="00304C08" w:rsidRPr="0084778E" w:rsidRDefault="00000000" w:rsidP="00304C08">
      <w:pPr>
        <w:pStyle w:val="NoSpacing"/>
        <w:spacing w:line="360" w:lineRule="auto"/>
        <w:jc w:val="thaiDistribute"/>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Correlation Coefficients Analysis</w:t>
      </w:r>
    </w:p>
    <w:p w14:paraId="68129E9D" w14:textId="77777777" w:rsidR="00304C08" w:rsidRPr="0084778E" w:rsidRDefault="00304C08" w:rsidP="00304C08">
      <w:pPr>
        <w:pStyle w:val="NoSpacing"/>
        <w:spacing w:line="360" w:lineRule="auto"/>
        <w:jc w:val="thaiDistribute"/>
        <w:rPr>
          <w:rFonts w:ascii="Times New Roman" w:hAnsi="Times New Roman" w:cs="Times New Roman"/>
          <w:sz w:val="20"/>
          <w:szCs w:val="20"/>
          <w:lang w:val="en-US" w:bidi="th-TH"/>
        </w:rPr>
      </w:pPr>
    </w:p>
    <w:p w14:paraId="2D5BE7D8" w14:textId="0E125CDD" w:rsidR="00304C08" w:rsidRPr="0084778E" w:rsidRDefault="00000000" w:rsidP="00304C08">
      <w:pPr>
        <w:pStyle w:val="NoSpacing"/>
        <w:spacing w:line="360" w:lineRule="auto"/>
        <w:jc w:val="thaiDistribute"/>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Moving to Table </w:t>
      </w:r>
      <w:r w:rsidR="00DC2ABC">
        <w:rPr>
          <w:rFonts w:ascii="Times New Roman" w:hAnsi="Times New Roman" w:cs="Times New Roman"/>
          <w:sz w:val="20"/>
          <w:szCs w:val="20"/>
          <w:lang w:bidi="th-TH"/>
        </w:rPr>
        <w:t>5</w:t>
      </w:r>
      <w:r w:rsidRPr="0084778E">
        <w:rPr>
          <w:rFonts w:ascii="Times New Roman" w:hAnsi="Times New Roman" w:cs="Times New Roman"/>
          <w:sz w:val="20"/>
          <w:szCs w:val="20"/>
          <w:lang w:bidi="th-TH"/>
        </w:rPr>
        <w:t xml:space="preserve">, the correlation coefficient </w:t>
      </w:r>
      <w:r w:rsidR="00E41879">
        <w:rPr>
          <w:rFonts w:ascii="Times New Roman" w:hAnsi="Times New Roman" w:cs="Times New Roman"/>
          <w:sz w:val="20"/>
          <w:szCs w:val="20"/>
          <w:lang w:bidi="th-TH"/>
        </w:rPr>
        <w:t>(</w:t>
      </w:r>
      <w:r w:rsidR="00E41879" w:rsidRPr="00E41879">
        <w:rPr>
          <w:rFonts w:ascii="Times New Roman" w:hAnsi="Times New Roman" w:cs="Times New Roman"/>
          <w:i/>
          <w:iCs/>
          <w:sz w:val="20"/>
          <w:szCs w:val="20"/>
        </w:rPr>
        <w:t>r</w:t>
      </w:r>
      <w:r w:rsidR="00E41879" w:rsidRPr="00E41879">
        <w:rPr>
          <w:rFonts w:ascii="Times New Roman" w:hAnsi="Times New Roman" w:cs="Times New Roman"/>
          <w:sz w:val="20"/>
          <w:szCs w:val="20"/>
        </w:rPr>
        <w:t>)</w:t>
      </w:r>
      <w:r w:rsidR="00E41879" w:rsidRPr="00E41879">
        <w:rPr>
          <w:rFonts w:ascii="Times New Roman" w:hAnsi="Times New Roman" w:cs="Times New Roman"/>
          <w:sz w:val="20"/>
          <w:szCs w:val="20"/>
          <w:lang w:bidi="th-TH"/>
        </w:rPr>
        <w:t xml:space="preserve"> </w:t>
      </w:r>
      <w:r w:rsidRPr="0084778E">
        <w:rPr>
          <w:rFonts w:ascii="Times New Roman" w:hAnsi="Times New Roman" w:cs="Times New Roman"/>
          <w:sz w:val="20"/>
          <w:szCs w:val="20"/>
          <w:lang w:bidi="th-TH"/>
        </w:rPr>
        <w:t xml:space="preserve">analysis reveals significant positive relationships among the 11 observed variables, with 55 pairs of indicators displaying statistically significant correlations </w:t>
      </w:r>
      <w:r w:rsidRPr="0084778E">
        <w:rPr>
          <w:rFonts w:ascii="Times New Roman" w:hAnsi="Times New Roman" w:cs="Times New Roman"/>
          <w:sz w:val="20"/>
          <w:szCs w:val="20"/>
          <w:lang w:val="en-US" w:bidi="th-TH"/>
        </w:rPr>
        <w:t>at the .</w:t>
      </w:r>
      <w:r w:rsidRPr="0084778E">
        <w:rPr>
          <w:rFonts w:ascii="Times New Roman" w:hAnsi="Times New Roman" w:cs="Times New Roman"/>
          <w:sz w:val="20"/>
          <w:szCs w:val="20"/>
          <w:cs/>
          <w:lang w:val="en-US" w:bidi="th-TH"/>
        </w:rPr>
        <w:t>01</w:t>
      </w:r>
      <w:r w:rsidRPr="0084778E">
        <w:rPr>
          <w:rFonts w:ascii="Times New Roman" w:hAnsi="Times New Roman" w:cs="Times New Roman"/>
          <w:sz w:val="20"/>
          <w:szCs w:val="20"/>
          <w:lang w:val="en-US" w:bidi="th-TH"/>
        </w:rPr>
        <w:t xml:space="preserve"> level</w:t>
      </w:r>
      <w:r w:rsidRPr="0084778E">
        <w:rPr>
          <w:rFonts w:ascii="Times New Roman" w:hAnsi="Times New Roman" w:cs="Times New Roman"/>
          <w:sz w:val="20"/>
          <w:szCs w:val="20"/>
          <w:lang w:bidi="th-TH"/>
        </w:rPr>
        <w:t xml:space="preserve">. This indicates that the various components of </w:t>
      </w:r>
      <w:r w:rsidR="004942BE">
        <w:rPr>
          <w:rFonts w:ascii="Times New Roman" w:hAnsi="Times New Roman" w:cs="Times New Roman"/>
          <w:sz w:val="20"/>
          <w:szCs w:val="20"/>
          <w:lang w:bidi="th-TH"/>
        </w:rPr>
        <w:t>DIF</w:t>
      </w:r>
      <w:r w:rsidRPr="0084778E">
        <w:rPr>
          <w:rFonts w:ascii="Times New Roman" w:hAnsi="Times New Roman" w:cs="Times New Roman"/>
          <w:sz w:val="20"/>
          <w:szCs w:val="20"/>
          <w:lang w:bidi="th-TH"/>
        </w:rPr>
        <w:t xml:space="preserve"> skills are interconnected and mutually reinforcing. </w:t>
      </w:r>
      <w:r w:rsidR="00E41879" w:rsidRPr="00E41879">
        <w:rPr>
          <w:rFonts w:ascii="Times New Roman" w:hAnsi="Times New Roman" w:cs="Times New Roman"/>
          <w:sz w:val="20"/>
          <w:szCs w:val="20"/>
        </w:rPr>
        <w:t xml:space="preserve">Moreover, </w:t>
      </w:r>
      <w:r w:rsidR="00E41879" w:rsidRPr="00E41879">
        <w:rPr>
          <w:rFonts w:ascii="Times New Roman" w:hAnsi="Times New Roman" w:cs="Times New Roman"/>
          <w:i/>
          <w:iCs/>
          <w:sz w:val="20"/>
          <w:szCs w:val="20"/>
        </w:rPr>
        <w:t>r</w:t>
      </w:r>
      <w:r w:rsidR="00E41879" w:rsidRPr="00E41879">
        <w:rPr>
          <w:rFonts w:ascii="Times New Roman" w:hAnsi="Times New Roman" w:cs="Times New Roman"/>
          <w:sz w:val="20"/>
          <w:szCs w:val="20"/>
        </w:rPr>
        <w:t xml:space="preserve"> values are often interpreted with </w:t>
      </w:r>
      <w:r w:rsidR="00E41879" w:rsidRPr="00E41879">
        <w:rPr>
          <w:rFonts w:ascii="Times New Roman" w:hAnsi="Times New Roman" w:cs="Times New Roman"/>
          <w:i/>
          <w:iCs/>
          <w:sz w:val="20"/>
          <w:szCs w:val="20"/>
        </w:rPr>
        <w:t>r</w:t>
      </w:r>
      <w:r w:rsidR="00E41879" w:rsidRPr="00E41879">
        <w:rPr>
          <w:rFonts w:ascii="Times New Roman" w:hAnsi="Times New Roman" w:cs="Times New Roman"/>
          <w:sz w:val="20"/>
          <w:szCs w:val="20"/>
        </w:rPr>
        <w:t xml:space="preserve"> values indicating a weak (0.10–0.29), moderate (0.30–0.49) or strong (0.50–1) interrelationship (</w:t>
      </w:r>
      <w:r w:rsidR="00ED4C2C" w:rsidRPr="00F17873">
        <w:rPr>
          <w:rFonts w:ascii="Times New Roman" w:hAnsi="Times New Roman" w:cs="Times New Roman"/>
          <w:color w:val="222222"/>
          <w:sz w:val="20"/>
          <w:szCs w:val="20"/>
          <w:shd w:val="clear" w:color="auto" w:fill="FFFFFF"/>
          <w:lang w:val="en-US"/>
        </w:rPr>
        <w:t>Ruenphongphun</w:t>
      </w:r>
      <w:r w:rsidR="00ED4C2C">
        <w:rPr>
          <w:rFonts w:ascii="Times New Roman" w:hAnsi="Times New Roman" w:cs="Times New Roman"/>
          <w:color w:val="222222"/>
          <w:sz w:val="20"/>
          <w:szCs w:val="20"/>
          <w:shd w:val="clear" w:color="auto" w:fill="FFFFFF"/>
          <w:lang w:val="en-US"/>
        </w:rPr>
        <w:t xml:space="preserve"> et al., </w:t>
      </w:r>
      <w:r w:rsidR="00ED4C2C" w:rsidRPr="00F17873">
        <w:rPr>
          <w:rFonts w:ascii="Times New Roman" w:hAnsi="Times New Roman" w:cs="Times New Roman"/>
          <w:color w:val="222222"/>
          <w:sz w:val="20"/>
          <w:szCs w:val="20"/>
          <w:shd w:val="clear" w:color="auto" w:fill="FFFFFF"/>
          <w:lang w:val="en-US"/>
        </w:rPr>
        <w:t>2021</w:t>
      </w:r>
      <w:r w:rsidR="00E41879" w:rsidRPr="00E41879">
        <w:rPr>
          <w:rFonts w:ascii="Times New Roman" w:hAnsi="Times New Roman" w:cs="Times New Roman"/>
          <w:sz w:val="20"/>
          <w:szCs w:val="20"/>
        </w:rPr>
        <w:t>).</w:t>
      </w:r>
      <w:r w:rsidR="00E41879" w:rsidRPr="00E41879">
        <w:rPr>
          <w:sz w:val="20"/>
          <w:szCs w:val="20"/>
        </w:rPr>
        <w:t xml:space="preserve"> </w:t>
      </w:r>
      <w:r w:rsidRPr="0084778E">
        <w:rPr>
          <w:rFonts w:ascii="Times New Roman" w:hAnsi="Times New Roman" w:cs="Times New Roman"/>
          <w:sz w:val="20"/>
          <w:szCs w:val="20"/>
          <w:lang w:bidi="th-TH"/>
        </w:rPr>
        <w:t xml:space="preserve">The </w:t>
      </w:r>
      <w:r w:rsidR="00E41879" w:rsidRPr="00E41879">
        <w:rPr>
          <w:rFonts w:ascii="Times New Roman" w:hAnsi="Times New Roman" w:cs="Times New Roman"/>
          <w:i/>
          <w:iCs/>
          <w:sz w:val="20"/>
          <w:szCs w:val="20"/>
        </w:rPr>
        <w:t>r</w:t>
      </w:r>
      <w:r w:rsidR="00E41879" w:rsidRPr="0084778E">
        <w:rPr>
          <w:rFonts w:ascii="Times New Roman" w:hAnsi="Times New Roman" w:cs="Times New Roman"/>
          <w:sz w:val="20"/>
          <w:szCs w:val="20"/>
          <w:lang w:bidi="th-TH"/>
        </w:rPr>
        <w:t xml:space="preserve"> </w:t>
      </w:r>
      <w:r w:rsidR="00E41879">
        <w:rPr>
          <w:rFonts w:ascii="Times New Roman" w:hAnsi="Times New Roman" w:cs="Times New Roman"/>
          <w:sz w:val="20"/>
          <w:szCs w:val="20"/>
          <w:lang w:bidi="th-TH"/>
        </w:rPr>
        <w:t xml:space="preserve">values </w:t>
      </w:r>
      <w:r w:rsidRPr="0084778E">
        <w:rPr>
          <w:rFonts w:ascii="Times New Roman" w:hAnsi="Times New Roman" w:cs="Times New Roman"/>
          <w:sz w:val="20"/>
          <w:szCs w:val="20"/>
          <w:lang w:bidi="th-TH"/>
        </w:rPr>
        <w:t>ranging from 0.21 to 0.61 signify the strength of these relationships, suggesting a coherent and integrated framework of digital literacy acquisition among high school students. Furthermore, the Kaiser-Meyer Olkin Measure of Sampling Adequacy (KMO) value of 0.90 and Bartlett's Test of Sphericity value of 1396.11 indicate a high level of suitability and statistical significance of the data, respectively, affirming the robustness of the correlation analysis.</w:t>
      </w:r>
    </w:p>
    <w:p w14:paraId="39DA1825" w14:textId="77777777" w:rsidR="00304C08" w:rsidRPr="0084778E" w:rsidRDefault="00304C08" w:rsidP="00304C08">
      <w:pPr>
        <w:pStyle w:val="NoSpacing"/>
        <w:spacing w:line="360" w:lineRule="auto"/>
        <w:jc w:val="thaiDistribute"/>
        <w:rPr>
          <w:rFonts w:ascii="Times New Roman" w:hAnsi="Times New Roman" w:cs="Times New Roman"/>
          <w:sz w:val="20"/>
          <w:szCs w:val="20"/>
          <w:lang w:bidi="th-TH"/>
        </w:rPr>
      </w:pPr>
    </w:p>
    <w:p w14:paraId="7EDD12A3" w14:textId="77777777" w:rsidR="00304C08" w:rsidRPr="0084778E" w:rsidRDefault="00000000" w:rsidP="00304C08">
      <w:pPr>
        <w:pStyle w:val="NoSpacing"/>
        <w:spacing w:line="360" w:lineRule="auto"/>
        <w:jc w:val="thaiDistribute"/>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Overall, the data underscores the importance of fostering digital fluency skills among high school students, particularly in the context of information consumption in the digital era. These skills not only enable students to effectively manage and communicate digital information but also promote critical thinking, collaboration, and ethical use of data </w:t>
      </w:r>
      <w:r w:rsidRPr="0084778E">
        <w:rPr>
          <w:rFonts w:ascii="Times New Roman" w:hAnsi="Times New Roman" w:cs="Times New Roman"/>
          <w:sz w:val="20"/>
          <w:szCs w:val="20"/>
        </w:rPr>
        <w:t>(B4)</w:t>
      </w:r>
      <w:r w:rsidRPr="0084778E">
        <w:rPr>
          <w:rFonts w:ascii="Times New Roman" w:hAnsi="Times New Roman" w:cs="Times New Roman"/>
          <w:sz w:val="20"/>
          <w:szCs w:val="20"/>
          <w:lang w:bidi="th-TH"/>
        </w:rPr>
        <w:t>. By understanding the interconnectedness of these skills and their high levels of proficiency among students, educators can tailor instructional strategies to further enhance students' digital literacy capabilities, empowering them to navigate the complexities of the digital world with confidence, safety, and discernment (</w:t>
      </w:r>
      <w:r w:rsidRPr="0084778E">
        <w:rPr>
          <w:rFonts w:ascii="Times New Roman" w:hAnsi="Times New Roman" w:cs="Times New Roman"/>
          <w:sz w:val="20"/>
          <w:szCs w:val="20"/>
          <w:shd w:val="clear" w:color="auto" w:fill="FFFFFF"/>
        </w:rPr>
        <w:t>Kornpitack &amp; Sawmong, 2022; Pimdee &amp; Leekitchwatana, 2019).</w:t>
      </w:r>
    </w:p>
    <w:p w14:paraId="0220F732" w14:textId="77777777" w:rsidR="00304C08" w:rsidRPr="0084778E" w:rsidRDefault="00304C08" w:rsidP="00304C08">
      <w:pPr>
        <w:pStyle w:val="NoSpacing"/>
        <w:spacing w:line="360" w:lineRule="auto"/>
        <w:jc w:val="center"/>
        <w:rPr>
          <w:rFonts w:ascii="Times New Roman" w:hAnsi="Times New Roman" w:cs="Times New Roman"/>
          <w:sz w:val="20"/>
          <w:szCs w:val="20"/>
        </w:rPr>
      </w:pPr>
    </w:p>
    <w:p w14:paraId="45B7F5EE" w14:textId="77777777" w:rsidR="00304C08" w:rsidRPr="0084778E" w:rsidRDefault="00000000" w:rsidP="00304C08">
      <w:pPr>
        <w:pStyle w:val="NoSpacing"/>
        <w:spacing w:line="360" w:lineRule="auto"/>
        <w:jc w:val="center"/>
        <w:rPr>
          <w:rFonts w:ascii="Times New Roman" w:hAnsi="Times New Roman" w:cs="Times New Roman"/>
          <w:i/>
          <w:iCs/>
          <w:sz w:val="20"/>
          <w:szCs w:val="20"/>
        </w:rPr>
      </w:pPr>
      <w:r w:rsidRPr="0084778E">
        <w:rPr>
          <w:rFonts w:ascii="Times New Roman" w:hAnsi="Times New Roman" w:cs="Times New Roman"/>
          <w:sz w:val="20"/>
          <w:szCs w:val="20"/>
        </w:rPr>
        <w:t>Table 4.</w:t>
      </w:r>
      <w:r w:rsidRPr="0084778E">
        <w:rPr>
          <w:rFonts w:ascii="Times New Roman" w:hAnsi="Times New Roman" w:cs="Times New Roman"/>
          <w:b/>
          <w:bCs/>
          <w:sz w:val="20"/>
          <w:szCs w:val="20"/>
        </w:rPr>
        <w:t xml:space="preserve"> </w:t>
      </w:r>
      <w:r w:rsidR="006279C4" w:rsidRPr="0084778E">
        <w:rPr>
          <w:rFonts w:ascii="Times New Roman" w:hAnsi="Times New Roman" w:cs="Times New Roman"/>
          <w:b/>
          <w:bCs/>
          <w:sz w:val="20"/>
          <w:szCs w:val="20"/>
        </w:rPr>
        <w:t>O</w:t>
      </w:r>
      <w:r w:rsidRPr="0084778E">
        <w:rPr>
          <w:rFonts w:ascii="Times New Roman" w:hAnsi="Times New Roman" w:cs="Times New Roman"/>
          <w:sz w:val="20"/>
          <w:szCs w:val="20"/>
        </w:rPr>
        <w:t>pinion levels of teachers' DIF skills importance</w:t>
      </w:r>
    </w:p>
    <w:tbl>
      <w:tblPr>
        <w:tblStyle w:val="TableGrid"/>
        <w:tblW w:w="4066" w:type="pct"/>
        <w:jc w:val="center"/>
        <w:tblLook w:val="04A0" w:firstRow="1" w:lastRow="0" w:firstColumn="1" w:lastColumn="0" w:noHBand="0" w:noVBand="1"/>
      </w:tblPr>
      <w:tblGrid>
        <w:gridCol w:w="3949"/>
        <w:gridCol w:w="848"/>
        <w:gridCol w:w="707"/>
        <w:gridCol w:w="1831"/>
      </w:tblGrid>
      <w:tr w:rsidR="00FE5EC8" w14:paraId="7BEF0F7A" w14:textId="77777777" w:rsidTr="00744DFA">
        <w:trPr>
          <w:trHeight w:val="561"/>
          <w:jc w:val="center"/>
        </w:trPr>
        <w:tc>
          <w:tcPr>
            <w:tcW w:w="2692" w:type="pct"/>
            <w:tcBorders>
              <w:left w:val="nil"/>
            </w:tcBorders>
          </w:tcPr>
          <w:p w14:paraId="3D629137"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sz w:val="20"/>
                <w:szCs w:val="20"/>
              </w:rPr>
              <w:t>Element/Indicator</w:t>
            </w:r>
          </w:p>
        </w:tc>
        <w:tc>
          <w:tcPr>
            <w:tcW w:w="578" w:type="pct"/>
            <w:vAlign w:val="center"/>
          </w:tcPr>
          <w:p w14:paraId="0969CF17"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b/>
                <w:bCs/>
                <w:sz w:val="20"/>
                <w:szCs w:val="20"/>
                <w:shd w:val="clear" w:color="auto" w:fill="FFFFFF"/>
                <w:lang w:val="en-US" w:bidi="th-TH"/>
              </w:rPr>
              <w:t>Mean</w:t>
            </w:r>
          </w:p>
        </w:tc>
        <w:tc>
          <w:tcPr>
            <w:tcW w:w="482" w:type="pct"/>
            <w:vAlign w:val="center"/>
          </w:tcPr>
          <w:p w14:paraId="3B3A4C3E"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b/>
                <w:bCs/>
                <w:sz w:val="20"/>
                <w:szCs w:val="20"/>
                <w:shd w:val="clear" w:color="auto" w:fill="FFFFFF"/>
                <w:lang w:val="en-US" w:bidi="th-TH"/>
              </w:rPr>
              <w:t>SD</w:t>
            </w:r>
          </w:p>
        </w:tc>
        <w:tc>
          <w:tcPr>
            <w:tcW w:w="1248" w:type="pct"/>
            <w:tcBorders>
              <w:right w:val="single" w:sz="4" w:space="0" w:color="FFFFFF" w:themeColor="background1"/>
            </w:tcBorders>
          </w:tcPr>
          <w:p w14:paraId="468BCAC7" w14:textId="77777777" w:rsidR="00304C08" w:rsidRPr="0084778E" w:rsidRDefault="00000000" w:rsidP="00744DFA">
            <w:pPr>
              <w:pStyle w:val="NoSpacing"/>
              <w:jc w:val="center"/>
              <w:rPr>
                <w:rFonts w:ascii="Times New Roman" w:hAnsi="Times New Roman" w:cs="Times New Roman"/>
                <w:b/>
                <w:bCs/>
                <w:sz w:val="20"/>
                <w:szCs w:val="20"/>
                <w:shd w:val="clear" w:color="auto" w:fill="FFFFFF"/>
                <w:cs/>
                <w:lang w:val="en-US" w:bidi="th-TH"/>
              </w:rPr>
            </w:pPr>
            <w:r w:rsidRPr="0084778E">
              <w:rPr>
                <w:rFonts w:ascii="Times New Roman" w:hAnsi="Times New Roman" w:cs="Times New Roman"/>
                <w:sz w:val="20"/>
                <w:szCs w:val="20"/>
              </w:rPr>
              <w:t>Opinion level</w:t>
            </w:r>
          </w:p>
        </w:tc>
      </w:tr>
      <w:tr w:rsidR="00FE5EC8" w14:paraId="7C59B6DE" w14:textId="77777777" w:rsidTr="00744DFA">
        <w:trPr>
          <w:jc w:val="center"/>
        </w:trPr>
        <w:tc>
          <w:tcPr>
            <w:tcW w:w="2692" w:type="pct"/>
            <w:tcBorders>
              <w:left w:val="nil"/>
              <w:bottom w:val="nil"/>
            </w:tcBorders>
          </w:tcPr>
          <w:p w14:paraId="1D31BDB3" w14:textId="77777777" w:rsidR="00304C08" w:rsidRPr="0084778E" w:rsidRDefault="00000000" w:rsidP="00744DFA">
            <w:pPr>
              <w:pStyle w:val="NoSpacing"/>
              <w:jc w:val="thaiDistribute"/>
              <w:rPr>
                <w:rFonts w:ascii="Times New Roman" w:hAnsi="Times New Roman" w:cs="Times New Roman"/>
                <w:b/>
                <w:bCs/>
                <w:sz w:val="20"/>
                <w:szCs w:val="20"/>
                <w:shd w:val="clear" w:color="auto" w:fill="FFFFFF"/>
                <w:lang w:val="en-US" w:bidi="th-TH"/>
              </w:rPr>
            </w:pPr>
            <w:r w:rsidRPr="0084778E">
              <w:rPr>
                <w:rFonts w:ascii="Times New Roman" w:hAnsi="Times New Roman" w:cs="Times New Roman"/>
                <w:b/>
                <w:bCs/>
                <w:sz w:val="20"/>
                <w:szCs w:val="20"/>
              </w:rPr>
              <w:t>Digital Information Management (DIM)</w:t>
            </w:r>
          </w:p>
        </w:tc>
        <w:tc>
          <w:tcPr>
            <w:tcW w:w="578" w:type="pct"/>
            <w:tcBorders>
              <w:bottom w:val="nil"/>
            </w:tcBorders>
            <w:vAlign w:val="center"/>
          </w:tcPr>
          <w:p w14:paraId="1847319B"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b/>
                <w:bCs/>
                <w:sz w:val="20"/>
                <w:szCs w:val="20"/>
                <w:shd w:val="clear" w:color="auto" w:fill="FFFFFF"/>
                <w:lang w:val="en-US" w:bidi="th-TH"/>
              </w:rPr>
              <w:t>4.82</w:t>
            </w:r>
          </w:p>
        </w:tc>
        <w:tc>
          <w:tcPr>
            <w:tcW w:w="482" w:type="pct"/>
            <w:tcBorders>
              <w:bottom w:val="nil"/>
            </w:tcBorders>
            <w:vAlign w:val="center"/>
          </w:tcPr>
          <w:p w14:paraId="7E46B5E9"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b/>
                <w:bCs/>
                <w:sz w:val="20"/>
                <w:szCs w:val="20"/>
                <w:shd w:val="clear" w:color="auto" w:fill="FFFFFF"/>
                <w:lang w:val="en-US" w:bidi="th-TH"/>
              </w:rPr>
              <w:t>0.34</w:t>
            </w:r>
          </w:p>
        </w:tc>
        <w:tc>
          <w:tcPr>
            <w:tcW w:w="1248" w:type="pct"/>
            <w:tcBorders>
              <w:bottom w:val="nil"/>
              <w:right w:val="single" w:sz="4" w:space="0" w:color="FFFFFF" w:themeColor="background1"/>
            </w:tcBorders>
          </w:tcPr>
          <w:p w14:paraId="79BDAB18"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623A205F" w14:textId="77777777" w:rsidTr="00744DFA">
        <w:trPr>
          <w:jc w:val="center"/>
        </w:trPr>
        <w:tc>
          <w:tcPr>
            <w:tcW w:w="2692" w:type="pct"/>
            <w:tcBorders>
              <w:top w:val="nil"/>
              <w:left w:val="nil"/>
              <w:bottom w:val="nil"/>
            </w:tcBorders>
          </w:tcPr>
          <w:p w14:paraId="18C96C4B"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Specify required information (A1)</w:t>
            </w:r>
          </w:p>
        </w:tc>
        <w:tc>
          <w:tcPr>
            <w:tcW w:w="578" w:type="pct"/>
            <w:tcBorders>
              <w:top w:val="nil"/>
              <w:bottom w:val="nil"/>
            </w:tcBorders>
            <w:vAlign w:val="center"/>
          </w:tcPr>
          <w:p w14:paraId="024C46A7"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4.88</w:t>
            </w:r>
          </w:p>
        </w:tc>
        <w:tc>
          <w:tcPr>
            <w:tcW w:w="482" w:type="pct"/>
            <w:tcBorders>
              <w:top w:val="nil"/>
              <w:bottom w:val="nil"/>
            </w:tcBorders>
            <w:vAlign w:val="center"/>
          </w:tcPr>
          <w:p w14:paraId="433F1A22"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0.37</w:t>
            </w:r>
          </w:p>
        </w:tc>
        <w:tc>
          <w:tcPr>
            <w:tcW w:w="1248" w:type="pct"/>
            <w:tcBorders>
              <w:top w:val="nil"/>
              <w:bottom w:val="nil"/>
              <w:right w:val="single" w:sz="4" w:space="0" w:color="FFFFFF" w:themeColor="background1"/>
            </w:tcBorders>
          </w:tcPr>
          <w:p w14:paraId="66DA5D4C" w14:textId="77777777" w:rsidR="00304C08" w:rsidRPr="0084778E" w:rsidRDefault="00000000" w:rsidP="00744DFA">
            <w:pPr>
              <w:pStyle w:val="NoSpacing"/>
              <w:jc w:val="center"/>
              <w:rPr>
                <w:rFonts w:ascii="Times New Roman" w:hAnsi="Times New Roman" w:cs="Times New Roman"/>
                <w:sz w:val="20"/>
                <w:szCs w:val="20"/>
                <w:shd w:val="clear" w:color="auto" w:fill="FFFFFF"/>
                <w:cs/>
                <w:lang w:val="en-US" w:bidi="th-TH"/>
              </w:rPr>
            </w:pPr>
            <w:r w:rsidRPr="0084778E">
              <w:rPr>
                <w:rFonts w:ascii="Times New Roman" w:hAnsi="Times New Roman" w:cs="Times New Roman"/>
                <w:sz w:val="20"/>
                <w:szCs w:val="20"/>
              </w:rPr>
              <w:t xml:space="preserve">strongest agreement </w:t>
            </w:r>
          </w:p>
        </w:tc>
      </w:tr>
      <w:tr w:rsidR="00FE5EC8" w14:paraId="477738FD" w14:textId="77777777" w:rsidTr="00744DFA">
        <w:trPr>
          <w:jc w:val="center"/>
        </w:trPr>
        <w:tc>
          <w:tcPr>
            <w:tcW w:w="2692" w:type="pct"/>
            <w:tcBorders>
              <w:top w:val="nil"/>
              <w:left w:val="nil"/>
              <w:bottom w:val="nil"/>
            </w:tcBorders>
          </w:tcPr>
          <w:p w14:paraId="6AF8CEB3"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Evaluate data (A2)</w:t>
            </w:r>
          </w:p>
        </w:tc>
        <w:tc>
          <w:tcPr>
            <w:tcW w:w="578" w:type="pct"/>
            <w:tcBorders>
              <w:top w:val="nil"/>
              <w:bottom w:val="nil"/>
            </w:tcBorders>
            <w:vAlign w:val="center"/>
          </w:tcPr>
          <w:p w14:paraId="661EA256"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4.81</w:t>
            </w:r>
          </w:p>
        </w:tc>
        <w:tc>
          <w:tcPr>
            <w:tcW w:w="482" w:type="pct"/>
            <w:tcBorders>
              <w:top w:val="nil"/>
              <w:bottom w:val="nil"/>
            </w:tcBorders>
            <w:vAlign w:val="center"/>
          </w:tcPr>
          <w:p w14:paraId="40469A14"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0.45</w:t>
            </w:r>
          </w:p>
        </w:tc>
        <w:tc>
          <w:tcPr>
            <w:tcW w:w="1248" w:type="pct"/>
            <w:tcBorders>
              <w:top w:val="nil"/>
              <w:bottom w:val="nil"/>
              <w:right w:val="single" w:sz="4" w:space="0" w:color="FFFFFF" w:themeColor="background1"/>
            </w:tcBorders>
          </w:tcPr>
          <w:p w14:paraId="6F91CD20"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10F0C95F" w14:textId="77777777" w:rsidTr="00744DFA">
        <w:trPr>
          <w:jc w:val="center"/>
        </w:trPr>
        <w:tc>
          <w:tcPr>
            <w:tcW w:w="2692" w:type="pct"/>
            <w:tcBorders>
              <w:top w:val="nil"/>
              <w:left w:val="nil"/>
            </w:tcBorders>
          </w:tcPr>
          <w:p w14:paraId="43D21F32"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Adjust data format (A3)</w:t>
            </w:r>
          </w:p>
        </w:tc>
        <w:tc>
          <w:tcPr>
            <w:tcW w:w="578" w:type="pct"/>
            <w:tcBorders>
              <w:top w:val="nil"/>
            </w:tcBorders>
            <w:vAlign w:val="center"/>
          </w:tcPr>
          <w:p w14:paraId="6F03A078"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4.77</w:t>
            </w:r>
          </w:p>
        </w:tc>
        <w:tc>
          <w:tcPr>
            <w:tcW w:w="482" w:type="pct"/>
            <w:tcBorders>
              <w:top w:val="nil"/>
            </w:tcBorders>
            <w:vAlign w:val="center"/>
          </w:tcPr>
          <w:p w14:paraId="79301D97"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0.48</w:t>
            </w:r>
          </w:p>
        </w:tc>
        <w:tc>
          <w:tcPr>
            <w:tcW w:w="1248" w:type="pct"/>
            <w:tcBorders>
              <w:top w:val="nil"/>
              <w:right w:val="single" w:sz="4" w:space="0" w:color="FFFFFF" w:themeColor="background1"/>
            </w:tcBorders>
          </w:tcPr>
          <w:p w14:paraId="45EC2FC1"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04918987" w14:textId="77777777" w:rsidTr="00744DFA">
        <w:trPr>
          <w:jc w:val="center"/>
        </w:trPr>
        <w:tc>
          <w:tcPr>
            <w:tcW w:w="2692" w:type="pct"/>
            <w:tcBorders>
              <w:left w:val="nil"/>
              <w:bottom w:val="nil"/>
            </w:tcBorders>
          </w:tcPr>
          <w:p w14:paraId="0069F537" w14:textId="77777777" w:rsidR="00304C08" w:rsidRPr="0084778E" w:rsidRDefault="00000000" w:rsidP="00744DFA">
            <w:pPr>
              <w:pStyle w:val="NoSpacing"/>
              <w:jc w:val="thaiDistribute"/>
              <w:rPr>
                <w:rFonts w:ascii="Times New Roman" w:hAnsi="Times New Roman" w:cs="Times New Roman"/>
                <w:b/>
                <w:bCs/>
                <w:sz w:val="20"/>
                <w:szCs w:val="20"/>
                <w:shd w:val="clear" w:color="auto" w:fill="FFFFFF"/>
                <w:lang w:val="en-US" w:bidi="th-TH"/>
              </w:rPr>
            </w:pPr>
            <w:r w:rsidRPr="0084778E">
              <w:rPr>
                <w:rFonts w:ascii="Times New Roman" w:hAnsi="Times New Roman" w:cs="Times New Roman"/>
                <w:b/>
                <w:bCs/>
                <w:sz w:val="20"/>
                <w:szCs w:val="20"/>
              </w:rPr>
              <w:t>Digital Literacy (DL)</w:t>
            </w:r>
          </w:p>
        </w:tc>
        <w:tc>
          <w:tcPr>
            <w:tcW w:w="578" w:type="pct"/>
            <w:tcBorders>
              <w:bottom w:val="nil"/>
            </w:tcBorders>
            <w:vAlign w:val="center"/>
          </w:tcPr>
          <w:p w14:paraId="7BF0FF31" w14:textId="77777777" w:rsidR="00304C08" w:rsidRPr="0084778E" w:rsidRDefault="00000000" w:rsidP="00744DFA">
            <w:pPr>
              <w:pStyle w:val="NoSpacing"/>
              <w:jc w:val="center"/>
              <w:rPr>
                <w:rFonts w:ascii="Times New Roman" w:hAnsi="Times New Roman" w:cs="Times New Roman"/>
                <w:b/>
                <w:bCs/>
                <w:sz w:val="20"/>
                <w:szCs w:val="20"/>
                <w:lang w:bidi="th-TH"/>
              </w:rPr>
            </w:pPr>
            <w:r w:rsidRPr="0084778E">
              <w:rPr>
                <w:rFonts w:ascii="Times New Roman" w:hAnsi="Times New Roman" w:cs="Times New Roman"/>
                <w:b/>
                <w:bCs/>
                <w:sz w:val="20"/>
                <w:szCs w:val="20"/>
                <w:lang w:bidi="th-TH"/>
              </w:rPr>
              <w:t>4.77</w:t>
            </w:r>
          </w:p>
        </w:tc>
        <w:tc>
          <w:tcPr>
            <w:tcW w:w="482" w:type="pct"/>
            <w:tcBorders>
              <w:bottom w:val="nil"/>
            </w:tcBorders>
            <w:vAlign w:val="center"/>
          </w:tcPr>
          <w:p w14:paraId="677AEE31" w14:textId="77777777" w:rsidR="00304C08" w:rsidRPr="0084778E" w:rsidRDefault="00000000" w:rsidP="00744DFA">
            <w:pPr>
              <w:pStyle w:val="NoSpacing"/>
              <w:jc w:val="center"/>
              <w:rPr>
                <w:rFonts w:ascii="Times New Roman" w:hAnsi="Times New Roman" w:cs="Times New Roman"/>
                <w:b/>
                <w:bCs/>
                <w:sz w:val="20"/>
                <w:szCs w:val="20"/>
                <w:lang w:bidi="th-TH"/>
              </w:rPr>
            </w:pPr>
            <w:r w:rsidRPr="0084778E">
              <w:rPr>
                <w:rFonts w:ascii="Times New Roman" w:hAnsi="Times New Roman" w:cs="Times New Roman"/>
                <w:b/>
                <w:bCs/>
                <w:sz w:val="20"/>
                <w:szCs w:val="20"/>
                <w:lang w:bidi="th-TH"/>
              </w:rPr>
              <w:t>0.36</w:t>
            </w:r>
          </w:p>
        </w:tc>
        <w:tc>
          <w:tcPr>
            <w:tcW w:w="1248" w:type="pct"/>
            <w:tcBorders>
              <w:bottom w:val="nil"/>
              <w:right w:val="single" w:sz="4" w:space="0" w:color="FFFFFF" w:themeColor="background1"/>
            </w:tcBorders>
          </w:tcPr>
          <w:p w14:paraId="7210AB89"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2D555E08" w14:textId="77777777" w:rsidTr="00744DFA">
        <w:trPr>
          <w:jc w:val="center"/>
        </w:trPr>
        <w:tc>
          <w:tcPr>
            <w:tcW w:w="2692" w:type="pct"/>
            <w:tcBorders>
              <w:top w:val="nil"/>
              <w:left w:val="nil"/>
              <w:bottom w:val="nil"/>
            </w:tcBorders>
          </w:tcPr>
          <w:p w14:paraId="5E55C31A"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lastRenderedPageBreak/>
              <w:t>Digital software selection and use (B1)</w:t>
            </w:r>
          </w:p>
        </w:tc>
        <w:tc>
          <w:tcPr>
            <w:tcW w:w="578" w:type="pct"/>
            <w:tcBorders>
              <w:top w:val="nil"/>
              <w:bottom w:val="nil"/>
            </w:tcBorders>
            <w:vAlign w:val="center"/>
          </w:tcPr>
          <w:p w14:paraId="1B2AAC17"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4.62</w:t>
            </w:r>
          </w:p>
        </w:tc>
        <w:tc>
          <w:tcPr>
            <w:tcW w:w="482" w:type="pct"/>
            <w:tcBorders>
              <w:top w:val="nil"/>
              <w:bottom w:val="nil"/>
            </w:tcBorders>
            <w:vAlign w:val="center"/>
          </w:tcPr>
          <w:p w14:paraId="4F18BA8F"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0.58</w:t>
            </w:r>
          </w:p>
        </w:tc>
        <w:tc>
          <w:tcPr>
            <w:tcW w:w="1248" w:type="pct"/>
            <w:tcBorders>
              <w:top w:val="nil"/>
              <w:bottom w:val="nil"/>
              <w:right w:val="single" w:sz="4" w:space="0" w:color="FFFFFF" w:themeColor="background1"/>
            </w:tcBorders>
          </w:tcPr>
          <w:p w14:paraId="02B9CF61"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2F1F45C1" w14:textId="77777777" w:rsidTr="00744DFA">
        <w:trPr>
          <w:jc w:val="center"/>
        </w:trPr>
        <w:tc>
          <w:tcPr>
            <w:tcW w:w="2692" w:type="pct"/>
            <w:tcBorders>
              <w:top w:val="nil"/>
              <w:left w:val="nil"/>
              <w:bottom w:val="nil"/>
            </w:tcBorders>
          </w:tcPr>
          <w:p w14:paraId="3F052FAD"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Software data management (B2)</w:t>
            </w:r>
          </w:p>
        </w:tc>
        <w:tc>
          <w:tcPr>
            <w:tcW w:w="578" w:type="pct"/>
            <w:tcBorders>
              <w:top w:val="nil"/>
              <w:bottom w:val="nil"/>
            </w:tcBorders>
            <w:vAlign w:val="center"/>
          </w:tcPr>
          <w:p w14:paraId="4502D75D"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4.80</w:t>
            </w:r>
          </w:p>
        </w:tc>
        <w:tc>
          <w:tcPr>
            <w:tcW w:w="482" w:type="pct"/>
            <w:tcBorders>
              <w:top w:val="nil"/>
              <w:bottom w:val="nil"/>
            </w:tcBorders>
            <w:vAlign w:val="center"/>
          </w:tcPr>
          <w:p w14:paraId="190CEA9F"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0.49</w:t>
            </w:r>
          </w:p>
        </w:tc>
        <w:tc>
          <w:tcPr>
            <w:tcW w:w="1248" w:type="pct"/>
            <w:tcBorders>
              <w:top w:val="nil"/>
              <w:bottom w:val="nil"/>
              <w:right w:val="single" w:sz="4" w:space="0" w:color="FFFFFF" w:themeColor="background1"/>
            </w:tcBorders>
          </w:tcPr>
          <w:p w14:paraId="1F919574"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47725861" w14:textId="77777777" w:rsidTr="00744DFA">
        <w:trPr>
          <w:jc w:val="center"/>
        </w:trPr>
        <w:tc>
          <w:tcPr>
            <w:tcW w:w="2692" w:type="pct"/>
            <w:tcBorders>
              <w:top w:val="nil"/>
              <w:left w:val="nil"/>
              <w:bottom w:val="nil"/>
            </w:tcBorders>
          </w:tcPr>
          <w:p w14:paraId="5DC3C2F2"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Digital online technology collaboration with others (B3)</w:t>
            </w:r>
          </w:p>
        </w:tc>
        <w:tc>
          <w:tcPr>
            <w:tcW w:w="578" w:type="pct"/>
            <w:tcBorders>
              <w:top w:val="nil"/>
              <w:bottom w:val="nil"/>
            </w:tcBorders>
            <w:vAlign w:val="center"/>
          </w:tcPr>
          <w:p w14:paraId="3A1AA2D8"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4.74</w:t>
            </w:r>
          </w:p>
        </w:tc>
        <w:tc>
          <w:tcPr>
            <w:tcW w:w="482" w:type="pct"/>
            <w:tcBorders>
              <w:top w:val="nil"/>
              <w:bottom w:val="nil"/>
            </w:tcBorders>
            <w:vAlign w:val="center"/>
          </w:tcPr>
          <w:p w14:paraId="2AE605A6"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0.52</w:t>
            </w:r>
          </w:p>
        </w:tc>
        <w:tc>
          <w:tcPr>
            <w:tcW w:w="1248" w:type="pct"/>
            <w:tcBorders>
              <w:top w:val="nil"/>
              <w:bottom w:val="nil"/>
              <w:right w:val="single" w:sz="4" w:space="0" w:color="FFFFFF" w:themeColor="background1"/>
            </w:tcBorders>
          </w:tcPr>
          <w:p w14:paraId="5573683A"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1F9CE6E2" w14:textId="77777777" w:rsidTr="00744DFA">
        <w:trPr>
          <w:jc w:val="center"/>
        </w:trPr>
        <w:tc>
          <w:tcPr>
            <w:tcW w:w="2692" w:type="pct"/>
            <w:tcBorders>
              <w:top w:val="nil"/>
              <w:left w:val="nil"/>
            </w:tcBorders>
          </w:tcPr>
          <w:p w14:paraId="08B55CE1"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Ethical data use (B4)</w:t>
            </w:r>
          </w:p>
        </w:tc>
        <w:tc>
          <w:tcPr>
            <w:tcW w:w="578" w:type="pct"/>
            <w:tcBorders>
              <w:top w:val="nil"/>
            </w:tcBorders>
            <w:vAlign w:val="center"/>
          </w:tcPr>
          <w:p w14:paraId="30B8DCD6"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4.92</w:t>
            </w:r>
          </w:p>
        </w:tc>
        <w:tc>
          <w:tcPr>
            <w:tcW w:w="482" w:type="pct"/>
            <w:tcBorders>
              <w:top w:val="nil"/>
            </w:tcBorders>
            <w:vAlign w:val="center"/>
          </w:tcPr>
          <w:p w14:paraId="3EFCC0F4"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0.35</w:t>
            </w:r>
          </w:p>
        </w:tc>
        <w:tc>
          <w:tcPr>
            <w:tcW w:w="1248" w:type="pct"/>
            <w:tcBorders>
              <w:top w:val="nil"/>
              <w:right w:val="single" w:sz="4" w:space="0" w:color="FFFFFF" w:themeColor="background1"/>
            </w:tcBorders>
          </w:tcPr>
          <w:p w14:paraId="018327DC"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179C24ED" w14:textId="77777777" w:rsidTr="00744DFA">
        <w:trPr>
          <w:jc w:val="center"/>
        </w:trPr>
        <w:tc>
          <w:tcPr>
            <w:tcW w:w="2692" w:type="pct"/>
            <w:tcBorders>
              <w:left w:val="nil"/>
              <w:bottom w:val="nil"/>
            </w:tcBorders>
          </w:tcPr>
          <w:p w14:paraId="61523C46" w14:textId="77777777" w:rsidR="00304C08" w:rsidRPr="0084778E" w:rsidRDefault="00000000" w:rsidP="00744DFA">
            <w:pPr>
              <w:pStyle w:val="NoSpacing"/>
              <w:jc w:val="thaiDistribute"/>
              <w:rPr>
                <w:rFonts w:ascii="Times New Roman" w:hAnsi="Times New Roman" w:cs="Times New Roman"/>
                <w:b/>
                <w:bCs/>
                <w:sz w:val="20"/>
                <w:szCs w:val="20"/>
                <w:shd w:val="clear" w:color="auto" w:fill="FFFFFF"/>
                <w:lang w:val="en-US" w:bidi="th-TH"/>
              </w:rPr>
            </w:pPr>
            <w:r w:rsidRPr="0084778E">
              <w:rPr>
                <w:rFonts w:ascii="Times New Roman" w:hAnsi="Times New Roman" w:cs="Times New Roman"/>
                <w:b/>
                <w:bCs/>
                <w:sz w:val="20"/>
                <w:szCs w:val="20"/>
              </w:rPr>
              <w:t>Digital Data Communication (DDC)</w:t>
            </w:r>
          </w:p>
        </w:tc>
        <w:tc>
          <w:tcPr>
            <w:tcW w:w="578" w:type="pct"/>
            <w:tcBorders>
              <w:bottom w:val="nil"/>
            </w:tcBorders>
            <w:vAlign w:val="center"/>
          </w:tcPr>
          <w:p w14:paraId="2ADF3C69" w14:textId="77777777" w:rsidR="00304C08" w:rsidRPr="0084778E" w:rsidRDefault="00000000" w:rsidP="00744DFA">
            <w:pPr>
              <w:pStyle w:val="NoSpacing"/>
              <w:jc w:val="center"/>
              <w:rPr>
                <w:rFonts w:ascii="Times New Roman" w:hAnsi="Times New Roman" w:cs="Times New Roman"/>
                <w:b/>
                <w:bCs/>
                <w:sz w:val="20"/>
                <w:szCs w:val="20"/>
                <w:lang w:bidi="th-TH"/>
              </w:rPr>
            </w:pPr>
            <w:r w:rsidRPr="0084778E">
              <w:rPr>
                <w:rFonts w:ascii="Times New Roman" w:hAnsi="Times New Roman" w:cs="Times New Roman"/>
                <w:b/>
                <w:bCs/>
                <w:sz w:val="20"/>
                <w:szCs w:val="20"/>
                <w:lang w:bidi="th-TH"/>
              </w:rPr>
              <w:t>4.79</w:t>
            </w:r>
          </w:p>
        </w:tc>
        <w:tc>
          <w:tcPr>
            <w:tcW w:w="482" w:type="pct"/>
            <w:tcBorders>
              <w:bottom w:val="nil"/>
            </w:tcBorders>
            <w:vAlign w:val="center"/>
          </w:tcPr>
          <w:p w14:paraId="511D4463" w14:textId="77777777" w:rsidR="00304C08" w:rsidRPr="0084778E" w:rsidRDefault="00000000" w:rsidP="00744DFA">
            <w:pPr>
              <w:pStyle w:val="NoSpacing"/>
              <w:jc w:val="center"/>
              <w:rPr>
                <w:rFonts w:ascii="Times New Roman" w:hAnsi="Times New Roman" w:cs="Times New Roman"/>
                <w:b/>
                <w:bCs/>
                <w:sz w:val="20"/>
                <w:szCs w:val="20"/>
                <w:lang w:bidi="th-TH"/>
              </w:rPr>
            </w:pPr>
            <w:r w:rsidRPr="0084778E">
              <w:rPr>
                <w:rFonts w:ascii="Times New Roman" w:hAnsi="Times New Roman" w:cs="Times New Roman"/>
                <w:b/>
                <w:bCs/>
                <w:sz w:val="20"/>
                <w:szCs w:val="20"/>
                <w:lang w:bidi="th-TH"/>
              </w:rPr>
              <w:t>0.36</w:t>
            </w:r>
          </w:p>
        </w:tc>
        <w:tc>
          <w:tcPr>
            <w:tcW w:w="1248" w:type="pct"/>
            <w:tcBorders>
              <w:bottom w:val="nil"/>
              <w:right w:val="single" w:sz="4" w:space="0" w:color="FFFFFF" w:themeColor="background1"/>
            </w:tcBorders>
          </w:tcPr>
          <w:p w14:paraId="6AD5654D" w14:textId="77777777" w:rsidR="00304C08" w:rsidRPr="0084778E" w:rsidRDefault="00000000" w:rsidP="00744DFA">
            <w:pPr>
              <w:pStyle w:val="NoSpacing"/>
              <w:jc w:val="center"/>
              <w:rPr>
                <w:rFonts w:ascii="Times New Roman" w:hAnsi="Times New Roman" w:cs="Times New Roman"/>
                <w:b/>
                <w:bCs/>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28A7D931" w14:textId="77777777" w:rsidTr="00744DFA">
        <w:trPr>
          <w:jc w:val="center"/>
        </w:trPr>
        <w:tc>
          <w:tcPr>
            <w:tcW w:w="2692" w:type="pct"/>
            <w:tcBorders>
              <w:top w:val="nil"/>
              <w:left w:val="nil"/>
              <w:bottom w:val="nil"/>
            </w:tcBorders>
          </w:tcPr>
          <w:p w14:paraId="5C414594"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Synthesize new data (C1)</w:t>
            </w:r>
          </w:p>
        </w:tc>
        <w:tc>
          <w:tcPr>
            <w:tcW w:w="578" w:type="pct"/>
            <w:tcBorders>
              <w:top w:val="nil"/>
              <w:bottom w:val="nil"/>
            </w:tcBorders>
            <w:vAlign w:val="center"/>
          </w:tcPr>
          <w:p w14:paraId="4F17226B"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4.84</w:t>
            </w:r>
          </w:p>
        </w:tc>
        <w:tc>
          <w:tcPr>
            <w:tcW w:w="482" w:type="pct"/>
            <w:tcBorders>
              <w:top w:val="nil"/>
              <w:bottom w:val="nil"/>
            </w:tcBorders>
            <w:vAlign w:val="center"/>
          </w:tcPr>
          <w:p w14:paraId="4590530A"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0.46</w:t>
            </w:r>
          </w:p>
        </w:tc>
        <w:tc>
          <w:tcPr>
            <w:tcW w:w="1248" w:type="pct"/>
            <w:tcBorders>
              <w:top w:val="nil"/>
              <w:bottom w:val="nil"/>
              <w:right w:val="single" w:sz="4" w:space="0" w:color="FFFFFF" w:themeColor="background1"/>
            </w:tcBorders>
          </w:tcPr>
          <w:p w14:paraId="4CCE7D40"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72C09D7E" w14:textId="77777777" w:rsidTr="00744DFA">
        <w:trPr>
          <w:jc w:val="center"/>
        </w:trPr>
        <w:tc>
          <w:tcPr>
            <w:tcW w:w="2692" w:type="pct"/>
            <w:tcBorders>
              <w:top w:val="nil"/>
              <w:left w:val="nil"/>
              <w:bottom w:val="nil"/>
            </w:tcBorders>
          </w:tcPr>
          <w:p w14:paraId="4A43F794"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Create digital information (C2)</w:t>
            </w:r>
          </w:p>
        </w:tc>
        <w:tc>
          <w:tcPr>
            <w:tcW w:w="578" w:type="pct"/>
            <w:tcBorders>
              <w:top w:val="nil"/>
              <w:bottom w:val="nil"/>
            </w:tcBorders>
            <w:vAlign w:val="center"/>
          </w:tcPr>
          <w:p w14:paraId="2C7DCD3F"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4.84</w:t>
            </w:r>
          </w:p>
        </w:tc>
        <w:tc>
          <w:tcPr>
            <w:tcW w:w="482" w:type="pct"/>
            <w:tcBorders>
              <w:top w:val="nil"/>
              <w:bottom w:val="nil"/>
            </w:tcBorders>
            <w:vAlign w:val="center"/>
          </w:tcPr>
          <w:p w14:paraId="7137B39D"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0.45</w:t>
            </w:r>
          </w:p>
        </w:tc>
        <w:tc>
          <w:tcPr>
            <w:tcW w:w="1248" w:type="pct"/>
            <w:tcBorders>
              <w:top w:val="nil"/>
              <w:bottom w:val="nil"/>
              <w:right w:val="single" w:sz="4" w:space="0" w:color="FFFFFF" w:themeColor="background1"/>
            </w:tcBorders>
          </w:tcPr>
          <w:p w14:paraId="00F2840D"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3A0DE954" w14:textId="77777777" w:rsidTr="00744DFA">
        <w:trPr>
          <w:jc w:val="center"/>
        </w:trPr>
        <w:tc>
          <w:tcPr>
            <w:tcW w:w="2692" w:type="pct"/>
            <w:tcBorders>
              <w:top w:val="nil"/>
              <w:left w:val="nil"/>
              <w:bottom w:val="nil"/>
            </w:tcBorders>
          </w:tcPr>
          <w:p w14:paraId="6266E282"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Apply data (C3)</w:t>
            </w:r>
          </w:p>
        </w:tc>
        <w:tc>
          <w:tcPr>
            <w:tcW w:w="578" w:type="pct"/>
            <w:tcBorders>
              <w:top w:val="nil"/>
              <w:bottom w:val="nil"/>
            </w:tcBorders>
            <w:vAlign w:val="center"/>
          </w:tcPr>
          <w:p w14:paraId="200C84A6"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4.79</w:t>
            </w:r>
          </w:p>
        </w:tc>
        <w:tc>
          <w:tcPr>
            <w:tcW w:w="482" w:type="pct"/>
            <w:tcBorders>
              <w:top w:val="nil"/>
              <w:bottom w:val="nil"/>
            </w:tcBorders>
            <w:vAlign w:val="center"/>
          </w:tcPr>
          <w:p w14:paraId="1B498B9B"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0.51</w:t>
            </w:r>
          </w:p>
        </w:tc>
        <w:tc>
          <w:tcPr>
            <w:tcW w:w="1248" w:type="pct"/>
            <w:tcBorders>
              <w:top w:val="nil"/>
              <w:bottom w:val="nil"/>
              <w:right w:val="single" w:sz="4" w:space="0" w:color="FFFFFF" w:themeColor="background1"/>
            </w:tcBorders>
          </w:tcPr>
          <w:p w14:paraId="6F7D6EBB"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28015BC3" w14:textId="77777777" w:rsidTr="00744DFA">
        <w:trPr>
          <w:jc w:val="center"/>
        </w:trPr>
        <w:tc>
          <w:tcPr>
            <w:tcW w:w="2692" w:type="pct"/>
            <w:tcBorders>
              <w:top w:val="nil"/>
              <w:left w:val="nil"/>
            </w:tcBorders>
          </w:tcPr>
          <w:p w14:paraId="42BD1CD9" w14:textId="77777777" w:rsidR="00304C08" w:rsidRPr="0084778E" w:rsidRDefault="00000000" w:rsidP="00744DFA">
            <w:pPr>
              <w:pStyle w:val="NoSpacing"/>
              <w:jc w:val="thaiDistribute"/>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Disseminating information using digital technology (C4)</w:t>
            </w:r>
          </w:p>
        </w:tc>
        <w:tc>
          <w:tcPr>
            <w:tcW w:w="578" w:type="pct"/>
            <w:tcBorders>
              <w:top w:val="nil"/>
            </w:tcBorders>
            <w:vAlign w:val="center"/>
          </w:tcPr>
          <w:p w14:paraId="6C0888CC"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4.70</w:t>
            </w:r>
          </w:p>
        </w:tc>
        <w:tc>
          <w:tcPr>
            <w:tcW w:w="482" w:type="pct"/>
            <w:tcBorders>
              <w:top w:val="nil"/>
            </w:tcBorders>
            <w:vAlign w:val="center"/>
          </w:tcPr>
          <w:p w14:paraId="1E74DD64"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0.53</w:t>
            </w:r>
          </w:p>
        </w:tc>
        <w:tc>
          <w:tcPr>
            <w:tcW w:w="1248" w:type="pct"/>
            <w:tcBorders>
              <w:top w:val="nil"/>
              <w:right w:val="single" w:sz="4" w:space="0" w:color="FFFFFF" w:themeColor="background1"/>
            </w:tcBorders>
          </w:tcPr>
          <w:p w14:paraId="045E12BC" w14:textId="77777777" w:rsidR="00304C08" w:rsidRPr="0084778E" w:rsidRDefault="00000000" w:rsidP="00744DFA">
            <w:pPr>
              <w:pStyle w:val="NoSpacing"/>
              <w:jc w:val="center"/>
              <w:rPr>
                <w:rFonts w:ascii="Times New Roman" w:hAnsi="Times New Roman" w:cs="Times New Roman"/>
                <w:sz w:val="20"/>
                <w:szCs w:val="20"/>
                <w:shd w:val="clear" w:color="auto" w:fill="FFFFFF"/>
                <w:lang w:val="en-US" w:bidi="th-TH"/>
              </w:rPr>
            </w:pPr>
            <w:r w:rsidRPr="0084778E">
              <w:rPr>
                <w:rFonts w:ascii="Times New Roman" w:hAnsi="Times New Roman" w:cs="Times New Roman"/>
                <w:sz w:val="20"/>
                <w:szCs w:val="20"/>
              </w:rPr>
              <w:t xml:space="preserve">strongest agreement </w:t>
            </w:r>
          </w:p>
        </w:tc>
      </w:tr>
      <w:tr w:rsidR="00FE5EC8" w14:paraId="383969CE" w14:textId="77777777" w:rsidTr="00744DFA">
        <w:trPr>
          <w:jc w:val="center"/>
        </w:trPr>
        <w:tc>
          <w:tcPr>
            <w:tcW w:w="2692" w:type="pct"/>
            <w:tcBorders>
              <w:top w:val="nil"/>
              <w:left w:val="nil"/>
            </w:tcBorders>
          </w:tcPr>
          <w:p w14:paraId="572A1AC9" w14:textId="77777777" w:rsidR="00304C08" w:rsidRPr="0084778E" w:rsidRDefault="00000000" w:rsidP="00744DFA">
            <w:pPr>
              <w:pStyle w:val="NoSpacing"/>
              <w:jc w:val="center"/>
              <w:rPr>
                <w:rFonts w:ascii="Times New Roman" w:hAnsi="Times New Roman" w:cs="Times New Roman"/>
                <w:b/>
                <w:bCs/>
                <w:sz w:val="20"/>
                <w:szCs w:val="20"/>
                <w:cs/>
                <w:lang w:bidi="th-TH"/>
              </w:rPr>
            </w:pPr>
            <w:r w:rsidRPr="0084778E">
              <w:rPr>
                <w:rFonts w:ascii="Times New Roman" w:hAnsi="Times New Roman" w:cs="Times New Roman"/>
                <w:b/>
                <w:bCs/>
                <w:sz w:val="20"/>
                <w:szCs w:val="20"/>
              </w:rPr>
              <w:t>Average</w:t>
            </w:r>
          </w:p>
        </w:tc>
        <w:tc>
          <w:tcPr>
            <w:tcW w:w="578" w:type="pct"/>
            <w:tcBorders>
              <w:top w:val="nil"/>
            </w:tcBorders>
            <w:vAlign w:val="center"/>
          </w:tcPr>
          <w:p w14:paraId="05526DC9"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b/>
                <w:bCs/>
                <w:sz w:val="20"/>
                <w:szCs w:val="20"/>
                <w:lang w:bidi="th-TH"/>
              </w:rPr>
              <w:t>4.79</w:t>
            </w:r>
          </w:p>
        </w:tc>
        <w:tc>
          <w:tcPr>
            <w:tcW w:w="482" w:type="pct"/>
            <w:tcBorders>
              <w:top w:val="nil"/>
            </w:tcBorders>
            <w:vAlign w:val="center"/>
          </w:tcPr>
          <w:p w14:paraId="464A668D" w14:textId="77777777" w:rsidR="00304C08" w:rsidRPr="0084778E" w:rsidRDefault="00000000" w:rsidP="00744DFA">
            <w:pPr>
              <w:pStyle w:val="NoSpacing"/>
              <w:jc w:val="center"/>
              <w:rPr>
                <w:rFonts w:ascii="Times New Roman" w:hAnsi="Times New Roman" w:cs="Times New Roman"/>
                <w:sz w:val="20"/>
                <w:szCs w:val="20"/>
                <w:lang w:bidi="th-TH"/>
              </w:rPr>
            </w:pPr>
            <w:r w:rsidRPr="0084778E">
              <w:rPr>
                <w:rFonts w:ascii="Times New Roman" w:hAnsi="Times New Roman" w:cs="Times New Roman"/>
                <w:b/>
                <w:bCs/>
                <w:sz w:val="20"/>
                <w:szCs w:val="20"/>
                <w:lang w:bidi="th-TH"/>
              </w:rPr>
              <w:t>0.31</w:t>
            </w:r>
          </w:p>
        </w:tc>
        <w:tc>
          <w:tcPr>
            <w:tcW w:w="1248" w:type="pct"/>
            <w:tcBorders>
              <w:top w:val="nil"/>
              <w:right w:val="single" w:sz="4" w:space="0" w:color="FFFFFF" w:themeColor="background1"/>
            </w:tcBorders>
          </w:tcPr>
          <w:p w14:paraId="2F4D0158" w14:textId="77777777" w:rsidR="00304C08" w:rsidRPr="0084778E" w:rsidRDefault="00000000" w:rsidP="00744DFA">
            <w:pPr>
              <w:pStyle w:val="NoSpacing"/>
              <w:jc w:val="center"/>
              <w:rPr>
                <w:rFonts w:ascii="Times New Roman" w:hAnsi="Times New Roman" w:cs="Times New Roman"/>
                <w:sz w:val="20"/>
                <w:szCs w:val="20"/>
                <w:shd w:val="clear" w:color="auto" w:fill="FFFFFF"/>
                <w:cs/>
                <w:lang w:val="en-US" w:bidi="th-TH"/>
              </w:rPr>
            </w:pPr>
            <w:r w:rsidRPr="0084778E">
              <w:rPr>
                <w:rFonts w:ascii="Times New Roman" w:hAnsi="Times New Roman" w:cs="Times New Roman"/>
                <w:sz w:val="20"/>
                <w:szCs w:val="20"/>
              </w:rPr>
              <w:t xml:space="preserve">strongest agreement </w:t>
            </w:r>
          </w:p>
        </w:tc>
      </w:tr>
    </w:tbl>
    <w:p w14:paraId="600ABC48" w14:textId="77777777" w:rsidR="00DC2ABC" w:rsidRDefault="00DC2ABC" w:rsidP="00304C08">
      <w:pPr>
        <w:pStyle w:val="NoSpacing"/>
        <w:jc w:val="center"/>
        <w:rPr>
          <w:rFonts w:ascii="Times New Roman" w:hAnsi="Times New Roman" w:cs="Times New Roman"/>
          <w:sz w:val="20"/>
          <w:szCs w:val="20"/>
          <w:lang w:val="en-US" w:bidi="th-TH"/>
        </w:rPr>
      </w:pPr>
    </w:p>
    <w:p w14:paraId="563EA407" w14:textId="2EAA8DB2" w:rsidR="00304C08" w:rsidRPr="0084778E" w:rsidRDefault="00000000" w:rsidP="00304C08">
      <w:pPr>
        <w:pStyle w:val="NoSpacing"/>
        <w:jc w:val="center"/>
        <w:rPr>
          <w:rFonts w:ascii="Tahoma" w:hAnsi="Tahoma" w:cs="Tahoma"/>
          <w:sz w:val="18"/>
          <w:szCs w:val="18"/>
          <w:lang w:val="en-US" w:bidi="th-TH"/>
        </w:rPr>
      </w:pPr>
      <w:r w:rsidRPr="0084778E">
        <w:rPr>
          <w:rFonts w:ascii="Times New Roman" w:hAnsi="Times New Roman" w:cs="Times New Roman"/>
          <w:sz w:val="20"/>
          <w:szCs w:val="20"/>
          <w:lang w:val="en-US" w:bidi="th-TH"/>
        </w:rPr>
        <w:t>Table 5.</w:t>
      </w:r>
      <w:r w:rsidRPr="0084778E">
        <w:rPr>
          <w:rFonts w:ascii="Times New Roman" w:hAnsi="Times New Roman" w:cs="Times New Roman"/>
          <w:b/>
          <w:bCs/>
          <w:sz w:val="20"/>
          <w:szCs w:val="20"/>
          <w:lang w:val="en-US" w:bidi="th-TH"/>
        </w:rPr>
        <w:t xml:space="preserve"> </w:t>
      </w:r>
      <w:r w:rsidRPr="0084778E">
        <w:rPr>
          <w:rFonts w:ascii="Times New Roman" w:hAnsi="Times New Roman" w:cs="Times New Roman"/>
          <w:sz w:val="20"/>
          <w:szCs w:val="20"/>
          <w:lang w:val="en-US" w:bidi="th-TH"/>
        </w:rPr>
        <w:t>Correlation coefficients of observed variables</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04"/>
        <w:gridCol w:w="739"/>
        <w:gridCol w:w="739"/>
        <w:gridCol w:w="739"/>
        <w:gridCol w:w="738"/>
        <w:gridCol w:w="738"/>
        <w:gridCol w:w="738"/>
        <w:gridCol w:w="738"/>
        <w:gridCol w:w="738"/>
        <w:gridCol w:w="738"/>
        <w:gridCol w:w="738"/>
        <w:gridCol w:w="738"/>
      </w:tblGrid>
      <w:tr w:rsidR="00FE5EC8" w14:paraId="310D8D2A" w14:textId="77777777" w:rsidTr="00744DFA">
        <w:tc>
          <w:tcPr>
            <w:tcW w:w="500" w:type="pct"/>
            <w:tcBorders>
              <w:top w:val="single" w:sz="4" w:space="0" w:color="auto"/>
              <w:bottom w:val="single" w:sz="4" w:space="0" w:color="auto"/>
            </w:tcBorders>
          </w:tcPr>
          <w:p w14:paraId="3C277DC1" w14:textId="76CCE77E" w:rsidR="00304C08" w:rsidRPr="00EF71D5" w:rsidRDefault="00EF71D5" w:rsidP="00744DFA">
            <w:pPr>
              <w:autoSpaceDE w:val="0"/>
              <w:autoSpaceDN w:val="0"/>
              <w:adjustRightInd w:val="0"/>
              <w:spacing w:line="320" w:lineRule="atLeast"/>
              <w:ind w:left="60" w:right="60"/>
              <w:jc w:val="center"/>
              <w:rPr>
                <w:rFonts w:cs="Times New Roman"/>
                <w:b/>
                <w:bCs/>
                <w:szCs w:val="20"/>
                <w:cs/>
              </w:rPr>
            </w:pPr>
            <w:r w:rsidRPr="00EF71D5">
              <w:rPr>
                <w:rFonts w:cs="Times New Roman"/>
                <w:b/>
                <w:bCs/>
                <w:szCs w:val="20"/>
              </w:rPr>
              <w:t>Item</w:t>
            </w:r>
          </w:p>
        </w:tc>
        <w:tc>
          <w:tcPr>
            <w:tcW w:w="409" w:type="pct"/>
            <w:tcBorders>
              <w:top w:val="single" w:sz="4" w:space="0" w:color="auto"/>
              <w:bottom w:val="single" w:sz="4" w:space="0" w:color="auto"/>
            </w:tcBorders>
          </w:tcPr>
          <w:p w14:paraId="52102D74" w14:textId="77777777" w:rsidR="00304C08" w:rsidRPr="0084778E" w:rsidRDefault="00000000" w:rsidP="00744DFA">
            <w:pPr>
              <w:autoSpaceDE w:val="0"/>
              <w:autoSpaceDN w:val="0"/>
              <w:adjustRightInd w:val="0"/>
              <w:spacing w:line="320" w:lineRule="atLeast"/>
              <w:ind w:left="60" w:right="60"/>
              <w:jc w:val="center"/>
              <w:rPr>
                <w:rFonts w:cs="Times New Roman"/>
                <w:b/>
                <w:bCs/>
                <w:szCs w:val="20"/>
              </w:rPr>
            </w:pPr>
            <w:r w:rsidRPr="0084778E">
              <w:rPr>
                <w:rFonts w:cs="Times New Roman"/>
                <w:b/>
                <w:bCs/>
                <w:szCs w:val="20"/>
              </w:rPr>
              <w:t>A1</w:t>
            </w:r>
          </w:p>
        </w:tc>
        <w:tc>
          <w:tcPr>
            <w:tcW w:w="409" w:type="pct"/>
            <w:tcBorders>
              <w:top w:val="single" w:sz="4" w:space="0" w:color="auto"/>
              <w:bottom w:val="single" w:sz="4" w:space="0" w:color="auto"/>
            </w:tcBorders>
          </w:tcPr>
          <w:p w14:paraId="51AC9AE6"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A1</w:t>
            </w:r>
          </w:p>
        </w:tc>
        <w:tc>
          <w:tcPr>
            <w:tcW w:w="409" w:type="pct"/>
            <w:tcBorders>
              <w:top w:val="single" w:sz="4" w:space="0" w:color="auto"/>
              <w:bottom w:val="single" w:sz="4" w:space="0" w:color="auto"/>
            </w:tcBorders>
          </w:tcPr>
          <w:p w14:paraId="65BF48A3"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A3</w:t>
            </w:r>
          </w:p>
        </w:tc>
        <w:tc>
          <w:tcPr>
            <w:tcW w:w="409" w:type="pct"/>
            <w:tcBorders>
              <w:top w:val="single" w:sz="4" w:space="0" w:color="auto"/>
              <w:bottom w:val="single" w:sz="4" w:space="0" w:color="auto"/>
            </w:tcBorders>
          </w:tcPr>
          <w:p w14:paraId="7652824F"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B1</w:t>
            </w:r>
          </w:p>
        </w:tc>
        <w:tc>
          <w:tcPr>
            <w:tcW w:w="409" w:type="pct"/>
            <w:tcBorders>
              <w:top w:val="single" w:sz="4" w:space="0" w:color="auto"/>
              <w:bottom w:val="single" w:sz="4" w:space="0" w:color="auto"/>
            </w:tcBorders>
          </w:tcPr>
          <w:p w14:paraId="565DFC85"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B2</w:t>
            </w:r>
          </w:p>
        </w:tc>
        <w:tc>
          <w:tcPr>
            <w:tcW w:w="409" w:type="pct"/>
            <w:tcBorders>
              <w:top w:val="single" w:sz="4" w:space="0" w:color="auto"/>
              <w:bottom w:val="single" w:sz="4" w:space="0" w:color="auto"/>
            </w:tcBorders>
          </w:tcPr>
          <w:p w14:paraId="6EAD62D7"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B3</w:t>
            </w:r>
          </w:p>
        </w:tc>
        <w:tc>
          <w:tcPr>
            <w:tcW w:w="409" w:type="pct"/>
            <w:tcBorders>
              <w:top w:val="single" w:sz="4" w:space="0" w:color="auto"/>
              <w:bottom w:val="single" w:sz="4" w:space="0" w:color="auto"/>
            </w:tcBorders>
          </w:tcPr>
          <w:p w14:paraId="0CB5BADC"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B4</w:t>
            </w:r>
          </w:p>
        </w:tc>
        <w:tc>
          <w:tcPr>
            <w:tcW w:w="409" w:type="pct"/>
            <w:tcBorders>
              <w:top w:val="single" w:sz="4" w:space="0" w:color="auto"/>
              <w:bottom w:val="single" w:sz="4" w:space="0" w:color="auto"/>
            </w:tcBorders>
          </w:tcPr>
          <w:p w14:paraId="32CE3B00"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C1</w:t>
            </w:r>
          </w:p>
        </w:tc>
        <w:tc>
          <w:tcPr>
            <w:tcW w:w="409" w:type="pct"/>
            <w:tcBorders>
              <w:top w:val="single" w:sz="4" w:space="0" w:color="auto"/>
              <w:bottom w:val="single" w:sz="4" w:space="0" w:color="auto"/>
            </w:tcBorders>
          </w:tcPr>
          <w:p w14:paraId="2CBA47DE"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C2</w:t>
            </w:r>
          </w:p>
        </w:tc>
        <w:tc>
          <w:tcPr>
            <w:tcW w:w="409" w:type="pct"/>
            <w:tcBorders>
              <w:top w:val="single" w:sz="4" w:space="0" w:color="auto"/>
              <w:bottom w:val="single" w:sz="4" w:space="0" w:color="auto"/>
            </w:tcBorders>
          </w:tcPr>
          <w:p w14:paraId="0163D376"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C3</w:t>
            </w:r>
          </w:p>
        </w:tc>
        <w:tc>
          <w:tcPr>
            <w:tcW w:w="409" w:type="pct"/>
            <w:tcBorders>
              <w:top w:val="single" w:sz="4" w:space="0" w:color="auto"/>
              <w:bottom w:val="single" w:sz="4" w:space="0" w:color="auto"/>
            </w:tcBorders>
          </w:tcPr>
          <w:p w14:paraId="6DB4181A"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C4</w:t>
            </w:r>
          </w:p>
        </w:tc>
      </w:tr>
      <w:tr w:rsidR="00FE5EC8" w14:paraId="27EEA4B0" w14:textId="77777777" w:rsidTr="00744DFA">
        <w:tc>
          <w:tcPr>
            <w:tcW w:w="500" w:type="pct"/>
            <w:tcBorders>
              <w:top w:val="single" w:sz="4" w:space="0" w:color="auto"/>
            </w:tcBorders>
          </w:tcPr>
          <w:p w14:paraId="6FED630A" w14:textId="77777777" w:rsidR="00304C08" w:rsidRPr="0084778E" w:rsidRDefault="00000000" w:rsidP="00744DFA">
            <w:pPr>
              <w:autoSpaceDE w:val="0"/>
              <w:autoSpaceDN w:val="0"/>
              <w:adjustRightInd w:val="0"/>
              <w:spacing w:line="320" w:lineRule="atLeast"/>
              <w:ind w:left="60" w:right="60"/>
              <w:jc w:val="center"/>
              <w:rPr>
                <w:rFonts w:cs="Times New Roman"/>
                <w:b/>
                <w:bCs/>
                <w:szCs w:val="20"/>
              </w:rPr>
            </w:pPr>
            <w:r w:rsidRPr="0084778E">
              <w:rPr>
                <w:rFonts w:cs="Times New Roman"/>
                <w:b/>
                <w:bCs/>
                <w:szCs w:val="20"/>
              </w:rPr>
              <w:t>A1</w:t>
            </w:r>
          </w:p>
        </w:tc>
        <w:tc>
          <w:tcPr>
            <w:tcW w:w="409" w:type="pct"/>
            <w:tcBorders>
              <w:top w:val="single" w:sz="4" w:space="0" w:color="auto"/>
            </w:tcBorders>
          </w:tcPr>
          <w:p w14:paraId="00FD6E3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Borders>
              <w:top w:val="single" w:sz="4" w:space="0" w:color="auto"/>
            </w:tcBorders>
          </w:tcPr>
          <w:p w14:paraId="157A304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0B9B477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5F11C1F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474AEA1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20049110"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6A3DD89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61AA36F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5A0CCC4C"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38065C8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Borders>
              <w:top w:val="single" w:sz="4" w:space="0" w:color="auto"/>
            </w:tcBorders>
          </w:tcPr>
          <w:p w14:paraId="67183D2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6EAF8156" w14:textId="77777777" w:rsidTr="00744DFA">
        <w:tc>
          <w:tcPr>
            <w:tcW w:w="500" w:type="pct"/>
          </w:tcPr>
          <w:p w14:paraId="0930AB2A"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A2</w:t>
            </w:r>
          </w:p>
        </w:tc>
        <w:tc>
          <w:tcPr>
            <w:tcW w:w="409" w:type="pct"/>
          </w:tcPr>
          <w:p w14:paraId="2B2318B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41</w:t>
            </w:r>
            <w:r w:rsidRPr="0084778E">
              <w:rPr>
                <w:rFonts w:cs="Times New Roman"/>
                <w:szCs w:val="20"/>
                <w:vertAlign w:val="superscript"/>
                <w:cs/>
              </w:rPr>
              <w:t>**</w:t>
            </w:r>
          </w:p>
        </w:tc>
        <w:tc>
          <w:tcPr>
            <w:tcW w:w="409" w:type="pct"/>
          </w:tcPr>
          <w:p w14:paraId="7C77EFA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2030FAD0"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1212B2D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72639B33"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7245DD1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7D4005BC"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1C28EEA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6958C2D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0D380FE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3AC690D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242F75BA" w14:textId="77777777" w:rsidTr="00744DFA">
        <w:tc>
          <w:tcPr>
            <w:tcW w:w="500" w:type="pct"/>
          </w:tcPr>
          <w:p w14:paraId="5E01BC66"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A3</w:t>
            </w:r>
          </w:p>
        </w:tc>
        <w:tc>
          <w:tcPr>
            <w:tcW w:w="409" w:type="pct"/>
          </w:tcPr>
          <w:p w14:paraId="03A56E2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33</w:t>
            </w:r>
            <w:r w:rsidRPr="0084778E">
              <w:rPr>
                <w:rFonts w:cs="Times New Roman"/>
                <w:szCs w:val="20"/>
                <w:vertAlign w:val="superscript"/>
                <w:cs/>
              </w:rPr>
              <w:t>**</w:t>
            </w:r>
          </w:p>
        </w:tc>
        <w:tc>
          <w:tcPr>
            <w:tcW w:w="409" w:type="pct"/>
          </w:tcPr>
          <w:p w14:paraId="7C7F5A2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44</w:t>
            </w:r>
            <w:r w:rsidRPr="0084778E">
              <w:rPr>
                <w:rFonts w:cs="Times New Roman"/>
                <w:szCs w:val="20"/>
                <w:vertAlign w:val="superscript"/>
                <w:cs/>
              </w:rPr>
              <w:t>**</w:t>
            </w:r>
          </w:p>
        </w:tc>
        <w:tc>
          <w:tcPr>
            <w:tcW w:w="409" w:type="pct"/>
          </w:tcPr>
          <w:p w14:paraId="3CB28CC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28CF2C1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2EDC70D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59E197D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3E8ABB44"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6B3F0754"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6C09035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30D3360B"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31CD187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2F3D9C9B" w14:textId="77777777" w:rsidTr="00744DFA">
        <w:tc>
          <w:tcPr>
            <w:tcW w:w="500" w:type="pct"/>
          </w:tcPr>
          <w:p w14:paraId="4BC42FC5"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B1</w:t>
            </w:r>
          </w:p>
        </w:tc>
        <w:tc>
          <w:tcPr>
            <w:tcW w:w="409" w:type="pct"/>
          </w:tcPr>
          <w:p w14:paraId="4069722E"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21</w:t>
            </w:r>
            <w:r w:rsidRPr="0084778E">
              <w:rPr>
                <w:rFonts w:cs="Times New Roman"/>
                <w:szCs w:val="20"/>
                <w:vertAlign w:val="superscript"/>
                <w:cs/>
              </w:rPr>
              <w:t>**</w:t>
            </w:r>
          </w:p>
        </w:tc>
        <w:tc>
          <w:tcPr>
            <w:tcW w:w="409" w:type="pct"/>
          </w:tcPr>
          <w:p w14:paraId="284E31D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35</w:t>
            </w:r>
            <w:r w:rsidRPr="0084778E">
              <w:rPr>
                <w:rFonts w:cs="Times New Roman"/>
                <w:szCs w:val="20"/>
                <w:vertAlign w:val="superscript"/>
                <w:cs/>
              </w:rPr>
              <w:t>**</w:t>
            </w:r>
          </w:p>
        </w:tc>
        <w:tc>
          <w:tcPr>
            <w:tcW w:w="409" w:type="pct"/>
          </w:tcPr>
          <w:p w14:paraId="5ADAEADB"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34</w:t>
            </w:r>
            <w:r w:rsidRPr="0084778E">
              <w:rPr>
                <w:rFonts w:cs="Times New Roman"/>
                <w:szCs w:val="20"/>
                <w:vertAlign w:val="superscript"/>
                <w:cs/>
              </w:rPr>
              <w:t>**</w:t>
            </w:r>
          </w:p>
        </w:tc>
        <w:tc>
          <w:tcPr>
            <w:tcW w:w="409" w:type="pct"/>
          </w:tcPr>
          <w:p w14:paraId="1B70C70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5090077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407C769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01DD73F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27B5A12B"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7DF4C670"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326DA30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33145CEC"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770F2D35" w14:textId="77777777" w:rsidTr="00744DFA">
        <w:tc>
          <w:tcPr>
            <w:tcW w:w="500" w:type="pct"/>
          </w:tcPr>
          <w:p w14:paraId="69ADBC19"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B2</w:t>
            </w:r>
          </w:p>
        </w:tc>
        <w:tc>
          <w:tcPr>
            <w:tcW w:w="409" w:type="pct"/>
          </w:tcPr>
          <w:p w14:paraId="49160A7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36</w:t>
            </w:r>
            <w:r w:rsidRPr="0084778E">
              <w:rPr>
                <w:rFonts w:cs="Times New Roman"/>
                <w:szCs w:val="20"/>
                <w:vertAlign w:val="superscript"/>
                <w:cs/>
              </w:rPr>
              <w:t>**</w:t>
            </w:r>
          </w:p>
        </w:tc>
        <w:tc>
          <w:tcPr>
            <w:tcW w:w="409" w:type="pct"/>
          </w:tcPr>
          <w:p w14:paraId="6D9C229D"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45</w:t>
            </w:r>
            <w:r w:rsidRPr="0084778E">
              <w:rPr>
                <w:rFonts w:cs="Times New Roman"/>
                <w:szCs w:val="20"/>
                <w:vertAlign w:val="superscript"/>
                <w:cs/>
              </w:rPr>
              <w:t>**</w:t>
            </w:r>
          </w:p>
        </w:tc>
        <w:tc>
          <w:tcPr>
            <w:tcW w:w="409" w:type="pct"/>
          </w:tcPr>
          <w:p w14:paraId="19E8C16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36</w:t>
            </w:r>
            <w:r w:rsidRPr="0084778E">
              <w:rPr>
                <w:rFonts w:cs="Times New Roman"/>
                <w:szCs w:val="20"/>
                <w:vertAlign w:val="superscript"/>
                <w:cs/>
              </w:rPr>
              <w:t>**</w:t>
            </w:r>
          </w:p>
        </w:tc>
        <w:tc>
          <w:tcPr>
            <w:tcW w:w="409" w:type="pct"/>
          </w:tcPr>
          <w:p w14:paraId="115009F3"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48</w:t>
            </w:r>
            <w:r w:rsidRPr="0084778E">
              <w:rPr>
                <w:rFonts w:cs="Times New Roman"/>
                <w:szCs w:val="20"/>
                <w:vertAlign w:val="superscript"/>
                <w:cs/>
              </w:rPr>
              <w:t>**</w:t>
            </w:r>
          </w:p>
        </w:tc>
        <w:tc>
          <w:tcPr>
            <w:tcW w:w="409" w:type="pct"/>
          </w:tcPr>
          <w:p w14:paraId="469A62F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2BD3F76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7DC6D114"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4F4FE1F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469D1B7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1432C64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7AED277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4B7157C9" w14:textId="77777777" w:rsidTr="00744DFA">
        <w:tc>
          <w:tcPr>
            <w:tcW w:w="500" w:type="pct"/>
          </w:tcPr>
          <w:p w14:paraId="1C464091"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B3</w:t>
            </w:r>
          </w:p>
        </w:tc>
        <w:tc>
          <w:tcPr>
            <w:tcW w:w="409" w:type="pct"/>
          </w:tcPr>
          <w:p w14:paraId="4E27CD5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40</w:t>
            </w:r>
            <w:r w:rsidRPr="0084778E">
              <w:rPr>
                <w:rFonts w:cs="Times New Roman"/>
                <w:szCs w:val="20"/>
                <w:vertAlign w:val="superscript"/>
                <w:cs/>
              </w:rPr>
              <w:t>**</w:t>
            </w:r>
          </w:p>
        </w:tc>
        <w:tc>
          <w:tcPr>
            <w:tcW w:w="409" w:type="pct"/>
          </w:tcPr>
          <w:p w14:paraId="67FCAA0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30</w:t>
            </w:r>
            <w:r w:rsidRPr="0084778E">
              <w:rPr>
                <w:rFonts w:cs="Times New Roman"/>
                <w:szCs w:val="20"/>
                <w:vertAlign w:val="superscript"/>
                <w:cs/>
              </w:rPr>
              <w:t>**</w:t>
            </w:r>
          </w:p>
        </w:tc>
        <w:tc>
          <w:tcPr>
            <w:tcW w:w="409" w:type="pct"/>
          </w:tcPr>
          <w:p w14:paraId="6314270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31</w:t>
            </w:r>
            <w:r w:rsidRPr="0084778E">
              <w:rPr>
                <w:rFonts w:cs="Times New Roman"/>
                <w:szCs w:val="20"/>
                <w:vertAlign w:val="superscript"/>
                <w:cs/>
              </w:rPr>
              <w:t>**</w:t>
            </w:r>
          </w:p>
        </w:tc>
        <w:tc>
          <w:tcPr>
            <w:tcW w:w="409" w:type="pct"/>
          </w:tcPr>
          <w:p w14:paraId="17296EB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32</w:t>
            </w:r>
            <w:r w:rsidRPr="0084778E">
              <w:rPr>
                <w:rFonts w:cs="Times New Roman"/>
                <w:szCs w:val="20"/>
                <w:vertAlign w:val="superscript"/>
                <w:cs/>
              </w:rPr>
              <w:t>**</w:t>
            </w:r>
          </w:p>
        </w:tc>
        <w:tc>
          <w:tcPr>
            <w:tcW w:w="409" w:type="pct"/>
          </w:tcPr>
          <w:p w14:paraId="2B89270B"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32</w:t>
            </w:r>
            <w:r w:rsidRPr="0084778E">
              <w:rPr>
                <w:rFonts w:cs="Times New Roman"/>
                <w:szCs w:val="20"/>
                <w:vertAlign w:val="superscript"/>
                <w:cs/>
              </w:rPr>
              <w:t>**</w:t>
            </w:r>
          </w:p>
        </w:tc>
        <w:tc>
          <w:tcPr>
            <w:tcW w:w="409" w:type="pct"/>
          </w:tcPr>
          <w:p w14:paraId="47AB8C30"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1B2DFA50"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4DE87F9E"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6B749ED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73FECB7D"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10D1608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1D1A93AD" w14:textId="77777777" w:rsidTr="00744DFA">
        <w:tc>
          <w:tcPr>
            <w:tcW w:w="500" w:type="pct"/>
          </w:tcPr>
          <w:p w14:paraId="5641A910"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B4</w:t>
            </w:r>
          </w:p>
        </w:tc>
        <w:tc>
          <w:tcPr>
            <w:tcW w:w="409" w:type="pct"/>
          </w:tcPr>
          <w:p w14:paraId="2FFFABF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49</w:t>
            </w:r>
            <w:r w:rsidRPr="0084778E">
              <w:rPr>
                <w:rFonts w:cs="Times New Roman"/>
                <w:szCs w:val="20"/>
                <w:vertAlign w:val="superscript"/>
                <w:cs/>
              </w:rPr>
              <w:t>**</w:t>
            </w:r>
          </w:p>
        </w:tc>
        <w:tc>
          <w:tcPr>
            <w:tcW w:w="409" w:type="pct"/>
          </w:tcPr>
          <w:p w14:paraId="7E761FAA"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40</w:t>
            </w:r>
            <w:r w:rsidRPr="0084778E">
              <w:rPr>
                <w:rFonts w:cs="Times New Roman"/>
                <w:szCs w:val="20"/>
                <w:vertAlign w:val="superscript"/>
                <w:cs/>
              </w:rPr>
              <w:t>**</w:t>
            </w:r>
          </w:p>
        </w:tc>
        <w:tc>
          <w:tcPr>
            <w:tcW w:w="409" w:type="pct"/>
          </w:tcPr>
          <w:p w14:paraId="14A9A84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43</w:t>
            </w:r>
            <w:r w:rsidRPr="0084778E">
              <w:rPr>
                <w:rFonts w:cs="Times New Roman"/>
                <w:szCs w:val="20"/>
                <w:vertAlign w:val="superscript"/>
                <w:cs/>
              </w:rPr>
              <w:t>**</w:t>
            </w:r>
          </w:p>
        </w:tc>
        <w:tc>
          <w:tcPr>
            <w:tcW w:w="409" w:type="pct"/>
          </w:tcPr>
          <w:p w14:paraId="4BA99EC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33</w:t>
            </w:r>
            <w:r w:rsidRPr="0084778E">
              <w:rPr>
                <w:rFonts w:cs="Times New Roman"/>
                <w:szCs w:val="20"/>
                <w:vertAlign w:val="superscript"/>
                <w:cs/>
              </w:rPr>
              <w:t>**</w:t>
            </w:r>
          </w:p>
        </w:tc>
        <w:tc>
          <w:tcPr>
            <w:tcW w:w="409" w:type="pct"/>
          </w:tcPr>
          <w:p w14:paraId="453E3E1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51</w:t>
            </w:r>
            <w:r w:rsidRPr="0084778E">
              <w:rPr>
                <w:rFonts w:cs="Times New Roman"/>
                <w:szCs w:val="20"/>
                <w:vertAlign w:val="superscript"/>
                <w:cs/>
              </w:rPr>
              <w:t>**</w:t>
            </w:r>
          </w:p>
        </w:tc>
        <w:tc>
          <w:tcPr>
            <w:tcW w:w="409" w:type="pct"/>
          </w:tcPr>
          <w:p w14:paraId="7FE00E54"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56</w:t>
            </w:r>
            <w:r w:rsidRPr="0084778E">
              <w:rPr>
                <w:rFonts w:cs="Times New Roman"/>
                <w:szCs w:val="20"/>
                <w:vertAlign w:val="superscript"/>
                <w:cs/>
              </w:rPr>
              <w:t>**</w:t>
            </w:r>
          </w:p>
        </w:tc>
        <w:tc>
          <w:tcPr>
            <w:tcW w:w="409" w:type="pct"/>
          </w:tcPr>
          <w:p w14:paraId="5192ABE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02D941F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63C3748B"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5C5AE8F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26A82EDD"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062F2493" w14:textId="77777777" w:rsidTr="00744DFA">
        <w:tc>
          <w:tcPr>
            <w:tcW w:w="500" w:type="pct"/>
          </w:tcPr>
          <w:p w14:paraId="1FA020F3"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C1</w:t>
            </w:r>
          </w:p>
        </w:tc>
        <w:tc>
          <w:tcPr>
            <w:tcW w:w="409" w:type="pct"/>
          </w:tcPr>
          <w:p w14:paraId="5D1CE09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44</w:t>
            </w:r>
            <w:r w:rsidRPr="0084778E">
              <w:rPr>
                <w:rFonts w:cs="Times New Roman"/>
                <w:szCs w:val="20"/>
                <w:vertAlign w:val="superscript"/>
                <w:cs/>
              </w:rPr>
              <w:t>**</w:t>
            </w:r>
          </w:p>
        </w:tc>
        <w:tc>
          <w:tcPr>
            <w:tcW w:w="409" w:type="pct"/>
          </w:tcPr>
          <w:p w14:paraId="37E10AA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52</w:t>
            </w:r>
            <w:r w:rsidRPr="0084778E">
              <w:rPr>
                <w:rFonts w:cs="Times New Roman"/>
                <w:szCs w:val="20"/>
                <w:vertAlign w:val="superscript"/>
                <w:cs/>
              </w:rPr>
              <w:t>**</w:t>
            </w:r>
          </w:p>
        </w:tc>
        <w:tc>
          <w:tcPr>
            <w:tcW w:w="409" w:type="pct"/>
          </w:tcPr>
          <w:p w14:paraId="4F625D9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38</w:t>
            </w:r>
            <w:r w:rsidRPr="0084778E">
              <w:rPr>
                <w:rFonts w:cs="Times New Roman"/>
                <w:szCs w:val="20"/>
                <w:vertAlign w:val="superscript"/>
                <w:cs/>
              </w:rPr>
              <w:t>**</w:t>
            </w:r>
          </w:p>
        </w:tc>
        <w:tc>
          <w:tcPr>
            <w:tcW w:w="409" w:type="pct"/>
          </w:tcPr>
          <w:p w14:paraId="0BAC66A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32</w:t>
            </w:r>
            <w:r w:rsidRPr="0084778E">
              <w:rPr>
                <w:rFonts w:cs="Times New Roman"/>
                <w:szCs w:val="20"/>
                <w:vertAlign w:val="superscript"/>
                <w:cs/>
              </w:rPr>
              <w:t>**</w:t>
            </w:r>
          </w:p>
        </w:tc>
        <w:tc>
          <w:tcPr>
            <w:tcW w:w="409" w:type="pct"/>
          </w:tcPr>
          <w:p w14:paraId="6FEB12D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47</w:t>
            </w:r>
            <w:r w:rsidRPr="0084778E">
              <w:rPr>
                <w:rFonts w:cs="Times New Roman"/>
                <w:szCs w:val="20"/>
                <w:vertAlign w:val="superscript"/>
                <w:cs/>
              </w:rPr>
              <w:t>**</w:t>
            </w:r>
          </w:p>
        </w:tc>
        <w:tc>
          <w:tcPr>
            <w:tcW w:w="409" w:type="pct"/>
          </w:tcPr>
          <w:p w14:paraId="283EE42D"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39</w:t>
            </w:r>
            <w:r w:rsidRPr="0084778E">
              <w:rPr>
                <w:rFonts w:cs="Times New Roman"/>
                <w:szCs w:val="20"/>
                <w:vertAlign w:val="superscript"/>
                <w:cs/>
              </w:rPr>
              <w:t>**</w:t>
            </w:r>
          </w:p>
        </w:tc>
        <w:tc>
          <w:tcPr>
            <w:tcW w:w="409" w:type="pct"/>
          </w:tcPr>
          <w:p w14:paraId="0FC467FE"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54</w:t>
            </w:r>
            <w:r w:rsidRPr="0084778E">
              <w:rPr>
                <w:rFonts w:cs="Times New Roman"/>
                <w:szCs w:val="20"/>
                <w:vertAlign w:val="superscript"/>
                <w:cs/>
              </w:rPr>
              <w:t>**</w:t>
            </w:r>
          </w:p>
        </w:tc>
        <w:tc>
          <w:tcPr>
            <w:tcW w:w="409" w:type="pct"/>
          </w:tcPr>
          <w:p w14:paraId="7CD6465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4355C4A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4C674D4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320BB51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62A27B84" w14:textId="77777777" w:rsidTr="00744DFA">
        <w:tc>
          <w:tcPr>
            <w:tcW w:w="500" w:type="pct"/>
          </w:tcPr>
          <w:p w14:paraId="599AE07C"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C2</w:t>
            </w:r>
          </w:p>
        </w:tc>
        <w:tc>
          <w:tcPr>
            <w:tcW w:w="409" w:type="pct"/>
          </w:tcPr>
          <w:p w14:paraId="25A2E10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35</w:t>
            </w:r>
            <w:r w:rsidRPr="0084778E">
              <w:rPr>
                <w:rFonts w:cs="Times New Roman"/>
                <w:szCs w:val="20"/>
                <w:vertAlign w:val="superscript"/>
                <w:cs/>
              </w:rPr>
              <w:t>**</w:t>
            </w:r>
          </w:p>
        </w:tc>
        <w:tc>
          <w:tcPr>
            <w:tcW w:w="409" w:type="pct"/>
          </w:tcPr>
          <w:p w14:paraId="749F4CD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42</w:t>
            </w:r>
            <w:r w:rsidRPr="0084778E">
              <w:rPr>
                <w:rFonts w:cs="Times New Roman"/>
                <w:szCs w:val="20"/>
                <w:vertAlign w:val="superscript"/>
                <w:cs/>
              </w:rPr>
              <w:t>**</w:t>
            </w:r>
          </w:p>
        </w:tc>
        <w:tc>
          <w:tcPr>
            <w:tcW w:w="409" w:type="pct"/>
          </w:tcPr>
          <w:p w14:paraId="1E53ADA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35</w:t>
            </w:r>
            <w:r w:rsidRPr="0084778E">
              <w:rPr>
                <w:rFonts w:cs="Times New Roman"/>
                <w:szCs w:val="20"/>
                <w:vertAlign w:val="superscript"/>
                <w:cs/>
              </w:rPr>
              <w:t>**</w:t>
            </w:r>
          </w:p>
        </w:tc>
        <w:tc>
          <w:tcPr>
            <w:tcW w:w="409" w:type="pct"/>
          </w:tcPr>
          <w:p w14:paraId="0B396F2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38</w:t>
            </w:r>
            <w:r w:rsidRPr="0084778E">
              <w:rPr>
                <w:rFonts w:cs="Times New Roman"/>
                <w:szCs w:val="20"/>
                <w:vertAlign w:val="superscript"/>
                <w:cs/>
              </w:rPr>
              <w:t>**</w:t>
            </w:r>
          </w:p>
        </w:tc>
        <w:tc>
          <w:tcPr>
            <w:tcW w:w="409" w:type="pct"/>
          </w:tcPr>
          <w:p w14:paraId="356B023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41</w:t>
            </w:r>
            <w:r w:rsidRPr="0084778E">
              <w:rPr>
                <w:rFonts w:cs="Times New Roman"/>
                <w:szCs w:val="20"/>
                <w:vertAlign w:val="superscript"/>
                <w:cs/>
              </w:rPr>
              <w:t>**</w:t>
            </w:r>
          </w:p>
        </w:tc>
        <w:tc>
          <w:tcPr>
            <w:tcW w:w="409" w:type="pct"/>
          </w:tcPr>
          <w:p w14:paraId="653FDA6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34</w:t>
            </w:r>
            <w:r w:rsidRPr="0084778E">
              <w:rPr>
                <w:rFonts w:cs="Times New Roman"/>
                <w:szCs w:val="20"/>
                <w:vertAlign w:val="superscript"/>
                <w:cs/>
              </w:rPr>
              <w:t>**</w:t>
            </w:r>
          </w:p>
        </w:tc>
        <w:tc>
          <w:tcPr>
            <w:tcW w:w="409" w:type="pct"/>
          </w:tcPr>
          <w:p w14:paraId="5DAAA1FE"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50</w:t>
            </w:r>
            <w:r w:rsidRPr="0084778E">
              <w:rPr>
                <w:rFonts w:cs="Times New Roman"/>
                <w:szCs w:val="20"/>
                <w:vertAlign w:val="superscript"/>
                <w:cs/>
              </w:rPr>
              <w:t>**</w:t>
            </w:r>
          </w:p>
        </w:tc>
        <w:tc>
          <w:tcPr>
            <w:tcW w:w="409" w:type="pct"/>
          </w:tcPr>
          <w:p w14:paraId="761581C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61</w:t>
            </w:r>
            <w:r w:rsidRPr="0084778E">
              <w:rPr>
                <w:rFonts w:cs="Times New Roman"/>
                <w:szCs w:val="20"/>
                <w:vertAlign w:val="superscript"/>
                <w:cs/>
              </w:rPr>
              <w:t>**</w:t>
            </w:r>
          </w:p>
        </w:tc>
        <w:tc>
          <w:tcPr>
            <w:tcW w:w="409" w:type="pct"/>
          </w:tcPr>
          <w:p w14:paraId="3220E72B"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33512CDF"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c>
          <w:tcPr>
            <w:tcW w:w="409" w:type="pct"/>
          </w:tcPr>
          <w:p w14:paraId="4C332F18"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37A20BAB" w14:textId="77777777" w:rsidTr="00744DFA">
        <w:tc>
          <w:tcPr>
            <w:tcW w:w="500" w:type="pct"/>
          </w:tcPr>
          <w:p w14:paraId="0E6961F4"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C3</w:t>
            </w:r>
          </w:p>
        </w:tc>
        <w:tc>
          <w:tcPr>
            <w:tcW w:w="409" w:type="pct"/>
          </w:tcPr>
          <w:p w14:paraId="7BDF8FCD"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32</w:t>
            </w:r>
            <w:r w:rsidRPr="0084778E">
              <w:rPr>
                <w:rFonts w:cs="Times New Roman"/>
                <w:szCs w:val="20"/>
                <w:vertAlign w:val="superscript"/>
                <w:cs/>
              </w:rPr>
              <w:t>**</w:t>
            </w:r>
          </w:p>
        </w:tc>
        <w:tc>
          <w:tcPr>
            <w:tcW w:w="409" w:type="pct"/>
          </w:tcPr>
          <w:p w14:paraId="4A9C9439"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42</w:t>
            </w:r>
            <w:r w:rsidRPr="0084778E">
              <w:rPr>
                <w:rFonts w:cs="Times New Roman"/>
                <w:szCs w:val="20"/>
                <w:vertAlign w:val="superscript"/>
                <w:cs/>
              </w:rPr>
              <w:t>**</w:t>
            </w:r>
          </w:p>
        </w:tc>
        <w:tc>
          <w:tcPr>
            <w:tcW w:w="409" w:type="pct"/>
          </w:tcPr>
          <w:p w14:paraId="73EF262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40</w:t>
            </w:r>
            <w:r w:rsidRPr="0084778E">
              <w:rPr>
                <w:rFonts w:cs="Times New Roman"/>
                <w:szCs w:val="20"/>
                <w:vertAlign w:val="superscript"/>
                <w:cs/>
              </w:rPr>
              <w:t>**</w:t>
            </w:r>
          </w:p>
        </w:tc>
        <w:tc>
          <w:tcPr>
            <w:tcW w:w="409" w:type="pct"/>
          </w:tcPr>
          <w:p w14:paraId="389758AC"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31</w:t>
            </w:r>
            <w:r w:rsidRPr="0084778E">
              <w:rPr>
                <w:rFonts w:cs="Times New Roman"/>
                <w:szCs w:val="20"/>
                <w:vertAlign w:val="superscript"/>
                <w:cs/>
              </w:rPr>
              <w:t>**</w:t>
            </w:r>
          </w:p>
        </w:tc>
        <w:tc>
          <w:tcPr>
            <w:tcW w:w="409" w:type="pct"/>
          </w:tcPr>
          <w:p w14:paraId="2131827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42</w:t>
            </w:r>
            <w:r w:rsidRPr="0084778E">
              <w:rPr>
                <w:rFonts w:cs="Times New Roman"/>
                <w:szCs w:val="20"/>
                <w:vertAlign w:val="superscript"/>
                <w:cs/>
              </w:rPr>
              <w:t>**</w:t>
            </w:r>
          </w:p>
        </w:tc>
        <w:tc>
          <w:tcPr>
            <w:tcW w:w="409" w:type="pct"/>
          </w:tcPr>
          <w:p w14:paraId="03661F9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30</w:t>
            </w:r>
            <w:r w:rsidRPr="0084778E">
              <w:rPr>
                <w:rFonts w:cs="Times New Roman"/>
                <w:szCs w:val="20"/>
                <w:vertAlign w:val="superscript"/>
                <w:cs/>
              </w:rPr>
              <w:t>**</w:t>
            </w:r>
          </w:p>
        </w:tc>
        <w:tc>
          <w:tcPr>
            <w:tcW w:w="409" w:type="pct"/>
          </w:tcPr>
          <w:p w14:paraId="7FD6A4F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44</w:t>
            </w:r>
            <w:r w:rsidRPr="0084778E">
              <w:rPr>
                <w:rFonts w:cs="Times New Roman"/>
                <w:szCs w:val="20"/>
                <w:vertAlign w:val="superscript"/>
                <w:cs/>
              </w:rPr>
              <w:t>**</w:t>
            </w:r>
          </w:p>
        </w:tc>
        <w:tc>
          <w:tcPr>
            <w:tcW w:w="409" w:type="pct"/>
          </w:tcPr>
          <w:p w14:paraId="68839203"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46</w:t>
            </w:r>
            <w:r w:rsidRPr="0084778E">
              <w:rPr>
                <w:rFonts w:cs="Times New Roman"/>
                <w:szCs w:val="20"/>
                <w:vertAlign w:val="superscript"/>
                <w:cs/>
              </w:rPr>
              <w:t>**</w:t>
            </w:r>
          </w:p>
        </w:tc>
        <w:tc>
          <w:tcPr>
            <w:tcW w:w="409" w:type="pct"/>
          </w:tcPr>
          <w:p w14:paraId="1A8567B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47</w:t>
            </w:r>
            <w:r w:rsidRPr="0084778E">
              <w:rPr>
                <w:rFonts w:cs="Times New Roman"/>
                <w:szCs w:val="20"/>
                <w:vertAlign w:val="superscript"/>
                <w:cs/>
              </w:rPr>
              <w:t>**</w:t>
            </w:r>
          </w:p>
        </w:tc>
        <w:tc>
          <w:tcPr>
            <w:tcW w:w="409" w:type="pct"/>
          </w:tcPr>
          <w:p w14:paraId="0AE89D2B"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c>
          <w:tcPr>
            <w:tcW w:w="409" w:type="pct"/>
          </w:tcPr>
          <w:p w14:paraId="18E22B41"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w:t>
            </w:r>
          </w:p>
        </w:tc>
      </w:tr>
      <w:tr w:rsidR="00FE5EC8" w14:paraId="511D09A5" w14:textId="77777777" w:rsidTr="00744DFA">
        <w:tc>
          <w:tcPr>
            <w:tcW w:w="500" w:type="pct"/>
          </w:tcPr>
          <w:p w14:paraId="5EA67BA8" w14:textId="77777777" w:rsidR="00304C08" w:rsidRPr="0084778E" w:rsidRDefault="00000000" w:rsidP="00744DFA">
            <w:pPr>
              <w:autoSpaceDE w:val="0"/>
              <w:autoSpaceDN w:val="0"/>
              <w:adjustRightInd w:val="0"/>
              <w:spacing w:line="320" w:lineRule="atLeast"/>
              <w:ind w:left="60" w:right="60"/>
              <w:jc w:val="center"/>
              <w:rPr>
                <w:rFonts w:cs="Times New Roman"/>
                <w:b/>
                <w:bCs/>
                <w:szCs w:val="20"/>
                <w:cs/>
              </w:rPr>
            </w:pPr>
            <w:r w:rsidRPr="0084778E">
              <w:rPr>
                <w:rFonts w:cs="Times New Roman"/>
                <w:b/>
                <w:bCs/>
                <w:szCs w:val="20"/>
              </w:rPr>
              <w:t>C4</w:t>
            </w:r>
          </w:p>
        </w:tc>
        <w:tc>
          <w:tcPr>
            <w:tcW w:w="409" w:type="pct"/>
          </w:tcPr>
          <w:p w14:paraId="33E2C262"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26</w:t>
            </w:r>
            <w:r w:rsidRPr="0084778E">
              <w:rPr>
                <w:rFonts w:cs="Times New Roman"/>
                <w:szCs w:val="20"/>
                <w:vertAlign w:val="superscript"/>
                <w:cs/>
              </w:rPr>
              <w:t>**</w:t>
            </w:r>
          </w:p>
        </w:tc>
        <w:tc>
          <w:tcPr>
            <w:tcW w:w="409" w:type="pct"/>
          </w:tcPr>
          <w:p w14:paraId="1D480817"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35</w:t>
            </w:r>
            <w:r w:rsidRPr="0084778E">
              <w:rPr>
                <w:rFonts w:cs="Times New Roman"/>
                <w:szCs w:val="20"/>
                <w:vertAlign w:val="superscript"/>
                <w:cs/>
              </w:rPr>
              <w:t>**</w:t>
            </w:r>
          </w:p>
        </w:tc>
        <w:tc>
          <w:tcPr>
            <w:tcW w:w="409" w:type="pct"/>
          </w:tcPr>
          <w:p w14:paraId="6F6B0FB4"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33</w:t>
            </w:r>
            <w:r w:rsidRPr="0084778E">
              <w:rPr>
                <w:rFonts w:cs="Times New Roman"/>
                <w:szCs w:val="20"/>
                <w:vertAlign w:val="superscript"/>
                <w:cs/>
              </w:rPr>
              <w:t>**</w:t>
            </w:r>
          </w:p>
        </w:tc>
        <w:tc>
          <w:tcPr>
            <w:tcW w:w="409" w:type="pct"/>
          </w:tcPr>
          <w:p w14:paraId="794652D0"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43</w:t>
            </w:r>
            <w:r w:rsidRPr="0084778E">
              <w:rPr>
                <w:rFonts w:cs="Times New Roman"/>
                <w:szCs w:val="20"/>
                <w:vertAlign w:val="superscript"/>
                <w:cs/>
              </w:rPr>
              <w:t>**</w:t>
            </w:r>
          </w:p>
        </w:tc>
        <w:tc>
          <w:tcPr>
            <w:tcW w:w="409" w:type="pct"/>
          </w:tcPr>
          <w:p w14:paraId="19E4017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37</w:t>
            </w:r>
            <w:r w:rsidRPr="0084778E">
              <w:rPr>
                <w:rFonts w:cs="Times New Roman"/>
                <w:szCs w:val="20"/>
                <w:vertAlign w:val="superscript"/>
                <w:cs/>
              </w:rPr>
              <w:t>**</w:t>
            </w:r>
          </w:p>
        </w:tc>
        <w:tc>
          <w:tcPr>
            <w:tcW w:w="409" w:type="pct"/>
          </w:tcPr>
          <w:p w14:paraId="5B189DC6"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47</w:t>
            </w:r>
            <w:r w:rsidRPr="0084778E">
              <w:rPr>
                <w:rFonts w:cs="Times New Roman"/>
                <w:szCs w:val="20"/>
                <w:vertAlign w:val="superscript"/>
                <w:cs/>
              </w:rPr>
              <w:t>**</w:t>
            </w:r>
          </w:p>
        </w:tc>
        <w:tc>
          <w:tcPr>
            <w:tcW w:w="409" w:type="pct"/>
          </w:tcPr>
          <w:p w14:paraId="5A699E94"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40</w:t>
            </w:r>
            <w:r w:rsidRPr="0084778E">
              <w:rPr>
                <w:rFonts w:cs="Times New Roman"/>
                <w:szCs w:val="20"/>
                <w:vertAlign w:val="superscript"/>
                <w:cs/>
              </w:rPr>
              <w:t>**</w:t>
            </w:r>
          </w:p>
        </w:tc>
        <w:tc>
          <w:tcPr>
            <w:tcW w:w="409" w:type="pct"/>
          </w:tcPr>
          <w:p w14:paraId="20F571F4"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30</w:t>
            </w:r>
            <w:r w:rsidRPr="0084778E">
              <w:rPr>
                <w:rFonts w:cs="Times New Roman"/>
                <w:szCs w:val="20"/>
                <w:vertAlign w:val="superscript"/>
                <w:cs/>
              </w:rPr>
              <w:t>**</w:t>
            </w:r>
          </w:p>
        </w:tc>
        <w:tc>
          <w:tcPr>
            <w:tcW w:w="409" w:type="pct"/>
          </w:tcPr>
          <w:p w14:paraId="03215D7C"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32</w:t>
            </w:r>
            <w:r w:rsidRPr="0084778E">
              <w:rPr>
                <w:rFonts w:cs="Times New Roman"/>
                <w:szCs w:val="20"/>
                <w:vertAlign w:val="superscript"/>
                <w:cs/>
              </w:rPr>
              <w:t>**</w:t>
            </w:r>
          </w:p>
        </w:tc>
        <w:tc>
          <w:tcPr>
            <w:tcW w:w="409" w:type="pct"/>
          </w:tcPr>
          <w:p w14:paraId="320C083C"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cs/>
              </w:rPr>
              <w:t>.</w:t>
            </w:r>
            <w:r w:rsidRPr="0084778E">
              <w:rPr>
                <w:rFonts w:cs="Times New Roman"/>
                <w:szCs w:val="20"/>
              </w:rPr>
              <w:t>32</w:t>
            </w:r>
            <w:r w:rsidRPr="0084778E">
              <w:rPr>
                <w:rFonts w:cs="Times New Roman"/>
                <w:szCs w:val="20"/>
                <w:vertAlign w:val="superscript"/>
                <w:cs/>
              </w:rPr>
              <w:t>**</w:t>
            </w:r>
          </w:p>
        </w:tc>
        <w:tc>
          <w:tcPr>
            <w:tcW w:w="409" w:type="pct"/>
          </w:tcPr>
          <w:p w14:paraId="12A4A365" w14:textId="77777777" w:rsidR="00304C08" w:rsidRPr="0084778E" w:rsidRDefault="00000000" w:rsidP="00744DFA">
            <w:pPr>
              <w:autoSpaceDE w:val="0"/>
              <w:autoSpaceDN w:val="0"/>
              <w:adjustRightInd w:val="0"/>
              <w:spacing w:line="320" w:lineRule="atLeast"/>
              <w:ind w:left="60" w:right="60"/>
              <w:jc w:val="center"/>
              <w:rPr>
                <w:rFonts w:cs="Times New Roman"/>
                <w:szCs w:val="20"/>
              </w:rPr>
            </w:pPr>
            <w:r w:rsidRPr="0084778E">
              <w:rPr>
                <w:rFonts w:cs="Times New Roman"/>
                <w:szCs w:val="20"/>
              </w:rPr>
              <w:t>1.00</w:t>
            </w:r>
          </w:p>
        </w:tc>
      </w:tr>
    </w:tbl>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25"/>
      </w:tblGrid>
      <w:tr w:rsidR="00FE5EC8" w14:paraId="638431C6" w14:textId="77777777" w:rsidTr="00744DFA">
        <w:trPr>
          <w:cantSplit/>
        </w:trPr>
        <w:tc>
          <w:tcPr>
            <w:tcW w:w="5000" w:type="pct"/>
            <w:shd w:val="clear" w:color="auto" w:fill="auto"/>
            <w:vAlign w:val="center"/>
          </w:tcPr>
          <w:p w14:paraId="6207E25F" w14:textId="77777777" w:rsidR="00304C08" w:rsidRPr="0084778E" w:rsidRDefault="00000000" w:rsidP="00744DFA">
            <w:pPr>
              <w:jc w:val="center"/>
              <w:rPr>
                <w:rFonts w:cs="Times New Roman"/>
                <w:szCs w:val="20"/>
              </w:rPr>
            </w:pPr>
            <w:r w:rsidRPr="0084778E">
              <w:rPr>
                <w:rFonts w:cs="Times New Roman"/>
                <w:szCs w:val="20"/>
              </w:rPr>
              <w:t>Kaiser-Meyer-Olkin Measure of Sampling Adequacy=0.90</w:t>
            </w:r>
          </w:p>
        </w:tc>
      </w:tr>
      <w:tr w:rsidR="00FE5EC8" w14:paraId="14B0D177" w14:textId="77777777" w:rsidTr="00744DFA">
        <w:trPr>
          <w:cantSplit/>
        </w:trPr>
        <w:tc>
          <w:tcPr>
            <w:tcW w:w="5000" w:type="pct"/>
            <w:shd w:val="clear" w:color="auto" w:fill="auto"/>
            <w:vAlign w:val="center"/>
          </w:tcPr>
          <w:p w14:paraId="61765BE9" w14:textId="77777777" w:rsidR="00304C08" w:rsidRPr="0084778E" w:rsidRDefault="00000000" w:rsidP="00744DFA">
            <w:pPr>
              <w:jc w:val="center"/>
              <w:rPr>
                <w:rFonts w:cs="Times New Roman"/>
                <w:szCs w:val="20"/>
              </w:rPr>
            </w:pPr>
            <w:r w:rsidRPr="0084778E">
              <w:rPr>
                <w:rFonts w:cs="Times New Roman"/>
                <w:szCs w:val="20"/>
              </w:rPr>
              <w:t>Bartlett's Test of Sphericity =1396.11 df=55 Sig. &lt; 0.01</w:t>
            </w:r>
          </w:p>
        </w:tc>
      </w:tr>
    </w:tbl>
    <w:p w14:paraId="5E607135" w14:textId="77777777" w:rsidR="00304C08" w:rsidRPr="0084778E" w:rsidRDefault="00000000" w:rsidP="00304C08">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**Sig.&lt;.01</w:t>
      </w:r>
    </w:p>
    <w:p w14:paraId="34E3FA30" w14:textId="77777777" w:rsidR="00304C08" w:rsidRPr="0084778E" w:rsidRDefault="00304C08" w:rsidP="00304C08">
      <w:pPr>
        <w:pStyle w:val="NoSpacing"/>
        <w:ind w:firstLine="720"/>
        <w:jc w:val="center"/>
        <w:rPr>
          <w:rFonts w:ascii="Tahoma" w:hAnsi="Tahoma" w:cs="Tahoma"/>
          <w:lang w:bidi="th-TH"/>
        </w:rPr>
      </w:pPr>
    </w:p>
    <w:p w14:paraId="2901C78D" w14:textId="77777777" w:rsidR="00304C08" w:rsidRPr="0084778E" w:rsidRDefault="00000000" w:rsidP="00304C08">
      <w:pPr>
        <w:spacing w:line="360" w:lineRule="auto"/>
        <w:rPr>
          <w:rFonts w:cs="Times New Roman"/>
          <w:szCs w:val="20"/>
        </w:rPr>
      </w:pPr>
      <w:r w:rsidRPr="0084778E">
        <w:rPr>
          <w:rFonts w:cs="Times New Roman"/>
          <w:szCs w:val="20"/>
        </w:rPr>
        <w:t xml:space="preserve">The data in Figure </w:t>
      </w:r>
      <w:r w:rsidR="0040443F" w:rsidRPr="0084778E">
        <w:rPr>
          <w:rFonts w:cs="Times New Roman"/>
          <w:szCs w:val="20"/>
        </w:rPr>
        <w:t>2</w:t>
      </w:r>
      <w:r w:rsidRPr="0084778E">
        <w:rPr>
          <w:rFonts w:cs="Times New Roman"/>
          <w:szCs w:val="20"/>
        </w:rPr>
        <w:t xml:space="preserve"> presents the results of the second confirmatory factor analysis conducted by the researchers to assess the consistency of the core components of digital information fluency skills among high school students. The analysis focused on 11 observed variables related to digital fluency skills in news consumption.  Figure </w:t>
      </w:r>
      <w:r w:rsidR="000E5449" w:rsidRPr="0084778E">
        <w:rPr>
          <w:rFonts w:cs="Times New Roman"/>
          <w:szCs w:val="20"/>
        </w:rPr>
        <w:t>2</w:t>
      </w:r>
      <w:r w:rsidRPr="0084778E">
        <w:rPr>
          <w:rFonts w:cs="Times New Roman"/>
          <w:szCs w:val="20"/>
        </w:rPr>
        <w:t xml:space="preserve"> highlights various criteria used to evaluate the conformity index of the confirmatory component model. Each criterion is accompanied by its respective threshold value and the actual value obtained from the analysis. Here's a breakdown of the key findings: </w:t>
      </w:r>
    </w:p>
    <w:p w14:paraId="445123F8" w14:textId="77777777" w:rsidR="00304C08" w:rsidRPr="0084778E" w:rsidRDefault="00000000" w:rsidP="00304C08">
      <w:pPr>
        <w:spacing w:line="360" w:lineRule="auto"/>
        <w:rPr>
          <w:rFonts w:cs="Times New Roman"/>
          <w:szCs w:val="20"/>
        </w:rPr>
      </w:pPr>
      <w:r w:rsidRPr="0084778E">
        <w:rPr>
          <w:rFonts w:cs="Times New Roman"/>
          <w:szCs w:val="20"/>
        </w:rPr>
        <w:t xml:space="preserve">1. The </w:t>
      </w:r>
      <w:r w:rsidRPr="00F17873">
        <w:rPr>
          <w:rFonts w:cs="Times New Roman"/>
          <w:i/>
          <w:iCs/>
          <w:szCs w:val="20"/>
        </w:rPr>
        <w:t>p</w:t>
      </w:r>
      <w:r w:rsidRPr="0084778E">
        <w:rPr>
          <w:rFonts w:cs="Times New Roman"/>
          <w:szCs w:val="20"/>
        </w:rPr>
        <w:t>-value of the chi-square test (</w:t>
      </w:r>
      <w:r w:rsidRPr="0084778E">
        <w:rPr>
          <w:rFonts w:cs="Times New Roman"/>
          <w:szCs w:val="20"/>
          <w:lang w:val="nb-NO"/>
        </w:rPr>
        <w:t>χ</w:t>
      </w:r>
      <w:r w:rsidRPr="0084778E">
        <w:rPr>
          <w:rFonts w:cs="Times New Roman"/>
          <w:szCs w:val="20"/>
        </w:rPr>
        <w:t>2): A p-value greater than or equal to 0.05 indicates that the model fits the data well. In this case, the obtained p-value of 0.08 validates the model's fit to the data (Byrne, 2013).</w:t>
      </w:r>
    </w:p>
    <w:p w14:paraId="77DDC053" w14:textId="77777777" w:rsidR="00304C08" w:rsidRPr="0084778E" w:rsidRDefault="00000000" w:rsidP="00304C08">
      <w:pPr>
        <w:spacing w:line="360" w:lineRule="auto"/>
        <w:rPr>
          <w:rFonts w:cs="Times New Roman"/>
          <w:szCs w:val="20"/>
        </w:rPr>
      </w:pPr>
      <w:r w:rsidRPr="0084778E">
        <w:rPr>
          <w:rFonts w:cs="Times New Roman"/>
          <w:szCs w:val="20"/>
        </w:rPr>
        <w:t>2. The ratio of chi-square to degrees of freedom (</w:t>
      </w:r>
      <w:r w:rsidRPr="0084778E">
        <w:rPr>
          <w:rFonts w:cs="Times New Roman"/>
          <w:szCs w:val="20"/>
          <w:lang w:val="nb-NO"/>
        </w:rPr>
        <w:t>χ</w:t>
      </w:r>
      <w:r w:rsidRPr="0084778E">
        <w:rPr>
          <w:rFonts w:cs="Times New Roman"/>
          <w:szCs w:val="20"/>
        </w:rPr>
        <w:t>2/df): A ratio less than 2 indicates a good fit between the model and the data. With a value of 1.37, the obtained ratio validates the model's fit (Byrne, 2013).</w:t>
      </w:r>
    </w:p>
    <w:p w14:paraId="11282B30" w14:textId="77777777" w:rsidR="00304C08" w:rsidRPr="0084778E" w:rsidRDefault="00000000" w:rsidP="00304C08">
      <w:pPr>
        <w:spacing w:line="360" w:lineRule="auto"/>
        <w:rPr>
          <w:rFonts w:cs="Times New Roman"/>
          <w:szCs w:val="20"/>
        </w:rPr>
      </w:pPr>
      <w:r w:rsidRPr="0084778E">
        <w:rPr>
          <w:rFonts w:cs="Times New Roman"/>
          <w:szCs w:val="20"/>
        </w:rPr>
        <w:t>3.  The CFI, GFI, AGFI, and NFI: These indices measure how well the model fits the data, with values equal to or greater than 0.90 indicating a good fit. In this analysis, all these indices surpassed the threshold values, with CFI, GFI, AGFI, and NFI values of 0.99, 0.98, 0.96, and 0.97, respectively (Byrne, 2013; Jöreskog et al., 2016; Schumacker &amp; Lomax, 2022).</w:t>
      </w:r>
    </w:p>
    <w:p w14:paraId="4D0D8DCE" w14:textId="77777777" w:rsidR="00304C08" w:rsidRPr="0084778E" w:rsidRDefault="00000000" w:rsidP="00304C08">
      <w:pPr>
        <w:spacing w:line="360" w:lineRule="auto"/>
        <w:rPr>
          <w:rFonts w:cs="Times New Roman"/>
          <w:szCs w:val="20"/>
        </w:rPr>
      </w:pPr>
      <w:r w:rsidRPr="0084778E">
        <w:rPr>
          <w:rFonts w:cs="Times New Roman"/>
          <w:szCs w:val="20"/>
        </w:rPr>
        <w:t>4. The RMSEA, SRMR, and RMR: These indices measure the discrepancy between the observed data and the model, with values less than or equal to 0.05 signifying a good fit. In this analysis, all these indices met the threshold values, with RMSEA, SRMR, and RMR values of 0.03 each (Doğan, 2022; Hu &amp; Bentler, 1999).</w:t>
      </w:r>
    </w:p>
    <w:p w14:paraId="1C05E89C" w14:textId="77777777" w:rsidR="00304C08" w:rsidRPr="0084778E" w:rsidRDefault="00000000" w:rsidP="00304C08">
      <w:pPr>
        <w:spacing w:line="360" w:lineRule="auto"/>
        <w:rPr>
          <w:rFonts w:cs="Times New Roman"/>
          <w:szCs w:val="20"/>
        </w:rPr>
      </w:pPr>
      <w:r w:rsidRPr="0084778E">
        <w:rPr>
          <w:rFonts w:cs="Times New Roman"/>
          <w:szCs w:val="20"/>
        </w:rPr>
        <w:lastRenderedPageBreak/>
        <w:t>Overall, the results indicate that the confirmatory component model of high school students' digital fluency skills in news consumption demonstrated a strong fit to the empirical data, as it met all established criteria for model validity (Byrne, 2013; Doğan, 2022; Hair et al., 2014; Hu &amp; Bentler, 1999; Jöreskog et al., 2016; Schumacker &amp; Lomax, 2022; Tavakol &amp; Dennick, 2011).</w:t>
      </w:r>
    </w:p>
    <w:p w14:paraId="29B97B2B" w14:textId="77777777" w:rsidR="00304C08" w:rsidRPr="0084778E" w:rsidRDefault="00000000" w:rsidP="00304C08">
      <w:pPr>
        <w:spacing w:line="360" w:lineRule="auto"/>
        <w:rPr>
          <w:rFonts w:ascii="Tahoma" w:hAnsi="Tahoma" w:cs="Tahoma"/>
          <w:szCs w:val="20"/>
        </w:rPr>
      </w:pPr>
      <w:r w:rsidRPr="0084778E">
        <w:rPr>
          <w:rFonts w:cs="Times New Roman"/>
          <w:szCs w:val="20"/>
        </w:rPr>
        <w:t>.</w:t>
      </w:r>
    </w:p>
    <w:p w14:paraId="4BB6F9EF" w14:textId="77777777" w:rsidR="00304C08" w:rsidRPr="0084778E" w:rsidRDefault="00000000" w:rsidP="00304C08">
      <w:pPr>
        <w:spacing w:line="360" w:lineRule="auto"/>
        <w:jc w:val="center"/>
        <w:rPr>
          <w:rFonts w:ascii="Tahoma" w:hAnsi="Tahoma" w:cs="Tahoma"/>
          <w:szCs w:val="20"/>
        </w:rPr>
      </w:pPr>
      <w:r w:rsidRPr="0084778E">
        <w:rPr>
          <w:rFonts w:ascii="Tahoma" w:hAnsi="Tahoma" w:cs="Tahoma"/>
          <w:noProof/>
          <w:szCs w:val="20"/>
        </w:rPr>
        <w:drawing>
          <wp:inline distT="0" distB="0" distL="0" distR="0" wp14:anchorId="1331857A" wp14:editId="7143EA7E">
            <wp:extent cx="4996298" cy="3200400"/>
            <wp:effectExtent l="0" t="0" r="0" b="0"/>
            <wp:docPr id="1768355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55580" name=""/>
                    <pic:cNvPicPr/>
                  </pic:nvPicPr>
                  <pic:blipFill>
                    <a:blip r:embed="rId9"/>
                    <a:stretch>
                      <a:fillRect/>
                    </a:stretch>
                  </pic:blipFill>
                  <pic:spPr>
                    <a:xfrm>
                      <a:off x="0" y="0"/>
                      <a:ext cx="5027598" cy="3220449"/>
                    </a:xfrm>
                    <a:prstGeom prst="rect">
                      <a:avLst/>
                    </a:prstGeom>
                  </pic:spPr>
                </pic:pic>
              </a:graphicData>
            </a:graphic>
          </wp:inline>
        </w:drawing>
      </w:r>
    </w:p>
    <w:p w14:paraId="459F3372" w14:textId="0B1AC36D" w:rsidR="00304C08" w:rsidRPr="0084778E" w:rsidRDefault="00000000" w:rsidP="00304C08">
      <w:pPr>
        <w:widowControl w:val="0"/>
        <w:spacing w:line="360" w:lineRule="auto"/>
        <w:jc w:val="center"/>
        <w:rPr>
          <w:rFonts w:cs="Times New Roman"/>
          <w:szCs w:val="20"/>
        </w:rPr>
      </w:pPr>
      <w:r w:rsidRPr="0084778E">
        <w:rPr>
          <w:rFonts w:cs="Times New Roman"/>
          <w:szCs w:val="20"/>
        </w:rPr>
        <w:t xml:space="preserve">Figure </w:t>
      </w:r>
      <w:r w:rsidR="0040443F" w:rsidRPr="0084778E">
        <w:rPr>
          <w:rFonts w:cs="Times New Roman"/>
          <w:szCs w:val="20"/>
        </w:rPr>
        <w:t>2</w:t>
      </w:r>
      <w:r w:rsidRPr="0084778E">
        <w:rPr>
          <w:rFonts w:cs="Times New Roman"/>
          <w:szCs w:val="20"/>
        </w:rPr>
        <w:t>. Goodness-of-Fit Analysis</w:t>
      </w:r>
      <w:r w:rsidR="00F17873">
        <w:rPr>
          <w:rFonts w:cs="Times New Roman"/>
          <w:szCs w:val="20"/>
        </w:rPr>
        <w:t xml:space="preserve"> Wheel </w:t>
      </w:r>
    </w:p>
    <w:p w14:paraId="07856C4B" w14:textId="77777777" w:rsidR="00304C08" w:rsidRPr="0084778E" w:rsidRDefault="00000000" w:rsidP="00304C08">
      <w:pPr>
        <w:spacing w:line="360" w:lineRule="auto"/>
        <w:jc w:val="center"/>
        <w:rPr>
          <w:rFonts w:cs="Times New Roman"/>
          <w:szCs w:val="20"/>
          <w:lang w:val="nb-NO"/>
        </w:rPr>
      </w:pPr>
      <w:r w:rsidRPr="0084778E">
        <w:rPr>
          <w:rFonts w:cs="Times New Roman"/>
          <w:szCs w:val="20"/>
          <w:lang w:val="nb-NO"/>
        </w:rPr>
        <w:t>(Byrne, 2013; Doğan, 2022; Hair et al., 2014; Hu &amp; Bentler, 1999; Jöreskog et al., 2016; Schumacker &amp; Lomax, 2022; Tavakol &amp; Dennick, 2011).</w:t>
      </w:r>
    </w:p>
    <w:p w14:paraId="24981E7D" w14:textId="77777777" w:rsidR="00304C08" w:rsidRPr="0084778E" w:rsidRDefault="00304C08" w:rsidP="00304C08">
      <w:pPr>
        <w:pStyle w:val="NoSpacing"/>
        <w:jc w:val="thaiDistribute"/>
        <w:rPr>
          <w:rFonts w:ascii="Tahoma" w:hAnsi="Tahoma" w:cs="Tahoma"/>
          <w:cs/>
          <w:lang w:val="en-US" w:bidi="th-TH"/>
        </w:rPr>
      </w:pPr>
    </w:p>
    <w:p w14:paraId="7AD65F73" w14:textId="78E0F989" w:rsidR="00304C08" w:rsidRPr="0084778E" w:rsidRDefault="00000000" w:rsidP="00304C08">
      <w:pPr>
        <w:pStyle w:val="NoSpacing"/>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Figure 3 shows that the </w:t>
      </w:r>
      <w:r w:rsidR="000E5449" w:rsidRPr="0084778E">
        <w:rPr>
          <w:rFonts w:ascii="Times New Roman" w:hAnsi="Times New Roman" w:cs="Times New Roman"/>
          <w:sz w:val="20"/>
          <w:szCs w:val="20"/>
          <w:lang w:val="en-US" w:bidi="th-TH"/>
        </w:rPr>
        <w:t>results of the 2</w:t>
      </w:r>
      <w:r w:rsidR="000E5449" w:rsidRPr="0084778E">
        <w:rPr>
          <w:rFonts w:ascii="Times New Roman" w:hAnsi="Times New Roman" w:cs="Times New Roman"/>
          <w:sz w:val="20"/>
          <w:szCs w:val="20"/>
          <w:vertAlign w:val="superscript"/>
          <w:lang w:val="en-US" w:bidi="th-TH"/>
        </w:rPr>
        <w:t>nd</w:t>
      </w:r>
      <w:r w:rsidR="000E5449" w:rsidRPr="0084778E">
        <w:rPr>
          <w:rFonts w:ascii="Times New Roman" w:hAnsi="Times New Roman" w:cs="Times New Roman"/>
          <w:sz w:val="20"/>
          <w:szCs w:val="20"/>
          <w:lang w:val="en-US" w:bidi="th-TH"/>
        </w:rPr>
        <w:t>-order CFA for Thai student DIF skills</w:t>
      </w:r>
      <w:r w:rsidR="00EF71D5" w:rsidRPr="00EF71D5">
        <w:rPr>
          <w:rFonts w:ascii="Times New Roman" w:hAnsi="Times New Roman" w:cs="Times New Roman"/>
          <w:color w:val="222222"/>
          <w:sz w:val="20"/>
          <w:szCs w:val="20"/>
          <w:shd w:val="clear" w:color="auto" w:fill="FFFFFF"/>
          <w:lang w:val="en-US"/>
        </w:rPr>
        <w:t xml:space="preserve"> </w:t>
      </w:r>
      <w:r w:rsidR="00EF71D5">
        <w:rPr>
          <w:rFonts w:ascii="Times New Roman" w:hAnsi="Times New Roman" w:cs="Times New Roman"/>
          <w:color w:val="222222"/>
          <w:sz w:val="20"/>
          <w:szCs w:val="20"/>
          <w:shd w:val="clear" w:color="auto" w:fill="FFFFFF"/>
          <w:lang w:val="en-US"/>
        </w:rPr>
        <w:t>(</w:t>
      </w:r>
      <w:r w:rsidR="00EF71D5" w:rsidRPr="00F17873">
        <w:rPr>
          <w:rFonts w:ascii="Times New Roman" w:hAnsi="Times New Roman" w:cs="Times New Roman"/>
          <w:color w:val="222222"/>
          <w:sz w:val="20"/>
          <w:szCs w:val="20"/>
          <w:shd w:val="clear" w:color="auto" w:fill="FFFFFF"/>
          <w:lang w:val="en-US"/>
        </w:rPr>
        <w:t>Ruenphongphun</w:t>
      </w:r>
      <w:r w:rsidR="00EF71D5">
        <w:rPr>
          <w:rFonts w:ascii="Times New Roman" w:hAnsi="Times New Roman" w:cs="Times New Roman"/>
          <w:color w:val="222222"/>
          <w:sz w:val="20"/>
          <w:szCs w:val="20"/>
          <w:shd w:val="clear" w:color="auto" w:fill="FFFFFF"/>
          <w:lang w:val="en-US"/>
        </w:rPr>
        <w:t xml:space="preserve"> et al., 2</w:t>
      </w:r>
      <w:r w:rsidR="00EF71D5" w:rsidRPr="00F17873">
        <w:rPr>
          <w:rFonts w:ascii="Times New Roman" w:hAnsi="Times New Roman" w:cs="Times New Roman"/>
          <w:color w:val="222222"/>
          <w:sz w:val="20"/>
          <w:szCs w:val="20"/>
          <w:shd w:val="clear" w:color="auto" w:fill="FFFFFF"/>
          <w:lang w:val="en-US"/>
        </w:rPr>
        <w:t>021).</w:t>
      </w:r>
      <w:r w:rsidR="000E5449" w:rsidRPr="0084778E">
        <w:rPr>
          <w:rFonts w:ascii="Times New Roman" w:hAnsi="Times New Roman" w:cs="Times New Roman"/>
          <w:sz w:val="20"/>
          <w:szCs w:val="20"/>
          <w:lang w:val="en-US" w:bidi="th-TH"/>
        </w:rPr>
        <w:t xml:space="preserve"> </w:t>
      </w:r>
    </w:p>
    <w:p w14:paraId="0D18A7E8" w14:textId="77777777" w:rsidR="00304C08" w:rsidRPr="0084778E" w:rsidRDefault="00000000" w:rsidP="00304C08">
      <w:pPr>
        <w:pStyle w:val="NoSpacing"/>
        <w:ind w:firstLine="720"/>
        <w:jc w:val="center"/>
        <w:rPr>
          <w:rFonts w:ascii="Tahoma" w:hAnsi="Tahoma" w:cs="Tahoma"/>
          <w:lang w:val="en-US" w:bidi="th-TH"/>
        </w:rPr>
      </w:pPr>
      <w:r w:rsidRPr="0084778E">
        <w:rPr>
          <w:rFonts w:ascii="Tahoma" w:hAnsi="Tahoma" w:cs="Tahoma"/>
          <w:noProof/>
          <w:cs/>
          <w:lang w:val="en-US" w:bidi="th-TH"/>
        </w:rPr>
        <w:lastRenderedPageBreak/>
        <w:drawing>
          <wp:inline distT="0" distB="0" distL="0" distR="0" wp14:anchorId="6E86D453" wp14:editId="458C7075">
            <wp:extent cx="3714635" cy="4105275"/>
            <wp:effectExtent l="0" t="0" r="635" b="0"/>
            <wp:docPr id="293726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26087" name=""/>
                    <pic:cNvPicPr/>
                  </pic:nvPicPr>
                  <pic:blipFill>
                    <a:blip r:embed="rId10"/>
                    <a:stretch>
                      <a:fillRect/>
                    </a:stretch>
                  </pic:blipFill>
                  <pic:spPr>
                    <a:xfrm>
                      <a:off x="0" y="0"/>
                      <a:ext cx="3718465" cy="4109507"/>
                    </a:xfrm>
                    <a:prstGeom prst="rect">
                      <a:avLst/>
                    </a:prstGeom>
                  </pic:spPr>
                </pic:pic>
              </a:graphicData>
            </a:graphic>
          </wp:inline>
        </w:drawing>
      </w:r>
    </w:p>
    <w:p w14:paraId="05EE1CC4" w14:textId="77777777" w:rsidR="0040443F" w:rsidRPr="0084778E" w:rsidRDefault="00000000" w:rsidP="00304C08">
      <w:pPr>
        <w:pStyle w:val="NoSpacing"/>
        <w:spacing w:line="360" w:lineRule="auto"/>
        <w:ind w:left="1134" w:hanging="1134"/>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Figure 3</w:t>
      </w:r>
      <w:r w:rsidRPr="0084778E">
        <w:rPr>
          <w:rFonts w:ascii="Times New Roman" w:hAnsi="Times New Roman" w:cs="Times New Roman"/>
          <w:sz w:val="20"/>
          <w:szCs w:val="20"/>
          <w:cs/>
          <w:lang w:val="en-US" w:bidi="th-TH"/>
        </w:rPr>
        <w:t xml:space="preserve">. </w:t>
      </w:r>
      <w:r w:rsidRPr="0084778E">
        <w:rPr>
          <w:rFonts w:ascii="Times New Roman" w:hAnsi="Times New Roman" w:cs="Times New Roman"/>
          <w:sz w:val="20"/>
          <w:szCs w:val="20"/>
          <w:lang w:val="en-US" w:bidi="th-TH"/>
        </w:rPr>
        <w:t>Results of 2</w:t>
      </w:r>
      <w:r w:rsidRPr="0084778E">
        <w:rPr>
          <w:rFonts w:ascii="Times New Roman" w:hAnsi="Times New Roman" w:cs="Times New Roman"/>
          <w:sz w:val="20"/>
          <w:szCs w:val="20"/>
          <w:vertAlign w:val="superscript"/>
          <w:lang w:val="en-US" w:bidi="th-TH"/>
        </w:rPr>
        <w:t>nd</w:t>
      </w:r>
      <w:r w:rsidRPr="0084778E">
        <w:rPr>
          <w:rFonts w:ascii="Times New Roman" w:hAnsi="Times New Roman" w:cs="Times New Roman"/>
          <w:sz w:val="20"/>
          <w:szCs w:val="20"/>
          <w:lang w:val="en-US" w:bidi="th-TH"/>
        </w:rPr>
        <w:t xml:space="preserve">-Order CFA of DIF’s Principal Components </w:t>
      </w:r>
    </w:p>
    <w:p w14:paraId="1AD2487F" w14:textId="77777777" w:rsidR="00304C08" w:rsidRPr="0084778E" w:rsidRDefault="00000000" w:rsidP="00304C08">
      <w:pPr>
        <w:pStyle w:val="NoSpacing"/>
        <w:spacing w:line="360" w:lineRule="auto"/>
        <w:ind w:left="1134" w:hanging="1134"/>
        <w:jc w:val="center"/>
        <w:rPr>
          <w:rFonts w:ascii="Times New Roman" w:hAnsi="Times New Roman" w:cs="Times New Roman"/>
          <w:sz w:val="20"/>
          <w:szCs w:val="20"/>
          <w:cs/>
          <w:lang w:val="en-US" w:bidi="th-TH"/>
        </w:rPr>
      </w:pPr>
      <w:r w:rsidRPr="0084778E">
        <w:rPr>
          <w:rFonts w:ascii="Times New Roman" w:hAnsi="Times New Roman" w:cs="Times New Roman"/>
          <w:sz w:val="20"/>
          <w:szCs w:val="20"/>
          <w:lang w:val="en-US" w:bidi="th-TH"/>
        </w:rPr>
        <w:t>Note. Chi-Square=</w:t>
      </w:r>
      <w:r w:rsidRPr="0084778E">
        <w:rPr>
          <w:rFonts w:ascii="Times New Roman" w:hAnsi="Times New Roman" w:cs="Times New Roman"/>
          <w:sz w:val="20"/>
          <w:szCs w:val="20"/>
          <w:cs/>
          <w:lang w:val="en-US" w:bidi="th-TH"/>
        </w:rPr>
        <w:t>45.08</w:t>
      </w:r>
      <w:r w:rsidRPr="0084778E">
        <w:rPr>
          <w:rFonts w:ascii="Times New Roman" w:hAnsi="Times New Roman" w:cs="Times New Roman"/>
          <w:sz w:val="20"/>
          <w:szCs w:val="20"/>
          <w:lang w:val="en-US" w:bidi="th-TH"/>
        </w:rPr>
        <w:t>, df=</w:t>
      </w:r>
      <w:r w:rsidRPr="0084778E">
        <w:rPr>
          <w:rFonts w:ascii="Times New Roman" w:hAnsi="Times New Roman" w:cs="Times New Roman"/>
          <w:sz w:val="20"/>
          <w:szCs w:val="20"/>
          <w:cs/>
          <w:lang w:val="en-US" w:bidi="th-TH"/>
        </w:rPr>
        <w:t>33</w:t>
      </w:r>
      <w:r w:rsidRPr="0084778E">
        <w:rPr>
          <w:rFonts w:ascii="Times New Roman" w:hAnsi="Times New Roman" w:cs="Times New Roman"/>
          <w:sz w:val="20"/>
          <w:szCs w:val="20"/>
          <w:lang w:val="en-US" w:bidi="th-TH"/>
        </w:rPr>
        <w:t xml:space="preserve">, </w:t>
      </w:r>
      <w:r w:rsidRPr="0084778E">
        <w:rPr>
          <w:rFonts w:ascii="Times New Roman" w:hAnsi="Times New Roman" w:cs="Times New Roman"/>
          <w:i/>
          <w:iCs/>
          <w:sz w:val="20"/>
          <w:szCs w:val="20"/>
          <w:lang w:val="en-US" w:bidi="th-TH"/>
        </w:rPr>
        <w:t>p</w:t>
      </w:r>
      <w:r w:rsidRPr="0084778E">
        <w:rPr>
          <w:rFonts w:ascii="Times New Roman" w:hAnsi="Times New Roman" w:cs="Times New Roman"/>
          <w:sz w:val="20"/>
          <w:szCs w:val="20"/>
          <w:lang w:val="en-US" w:bidi="th-TH"/>
        </w:rPr>
        <w:t>-value=</w:t>
      </w:r>
      <w:r w:rsidRPr="0084778E">
        <w:rPr>
          <w:rFonts w:ascii="Times New Roman" w:hAnsi="Times New Roman" w:cs="Times New Roman"/>
          <w:sz w:val="20"/>
          <w:szCs w:val="20"/>
          <w:cs/>
          <w:lang w:val="en-US" w:bidi="th-TH"/>
        </w:rPr>
        <w:t>0.08</w:t>
      </w:r>
      <w:r w:rsidRPr="0084778E">
        <w:rPr>
          <w:rFonts w:ascii="Times New Roman" w:hAnsi="Times New Roman" w:cs="Times New Roman"/>
          <w:sz w:val="20"/>
          <w:szCs w:val="20"/>
          <w:lang w:val="en-US" w:bidi="th-TH"/>
        </w:rPr>
        <w:t>, RMSEA=</w:t>
      </w:r>
      <w:r w:rsidRPr="0084778E">
        <w:rPr>
          <w:rFonts w:ascii="Times New Roman" w:hAnsi="Times New Roman" w:cs="Times New Roman"/>
          <w:sz w:val="20"/>
          <w:szCs w:val="20"/>
          <w:cs/>
          <w:lang w:val="en-US" w:bidi="th-TH"/>
        </w:rPr>
        <w:t>0.03</w:t>
      </w:r>
    </w:p>
    <w:p w14:paraId="1033F9F2" w14:textId="77777777" w:rsidR="0040443F" w:rsidRPr="0084778E" w:rsidRDefault="0040443F" w:rsidP="00304C08">
      <w:pPr>
        <w:pStyle w:val="NoSpacing"/>
        <w:spacing w:line="360" w:lineRule="auto"/>
        <w:jc w:val="both"/>
        <w:rPr>
          <w:rFonts w:ascii="Times New Roman" w:hAnsi="Times New Roman" w:cs="Times New Roman"/>
          <w:sz w:val="20"/>
          <w:szCs w:val="20"/>
          <w:lang w:bidi="th-TH"/>
        </w:rPr>
      </w:pPr>
    </w:p>
    <w:p w14:paraId="3508692B" w14:textId="77777777" w:rsidR="00304C08" w:rsidRPr="0084778E" w:rsidRDefault="00000000" w:rsidP="00304C08">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Table </w:t>
      </w:r>
      <w:r w:rsidR="000E5449" w:rsidRPr="0084778E">
        <w:rPr>
          <w:rFonts w:ascii="Times New Roman" w:hAnsi="Times New Roman" w:cs="Times New Roman"/>
          <w:sz w:val="20"/>
          <w:szCs w:val="20"/>
          <w:lang w:bidi="th-TH"/>
        </w:rPr>
        <w:t>6</w:t>
      </w:r>
      <w:r w:rsidRPr="0084778E">
        <w:rPr>
          <w:rFonts w:ascii="Times New Roman" w:hAnsi="Times New Roman" w:cs="Times New Roman"/>
          <w:sz w:val="20"/>
          <w:szCs w:val="20"/>
          <w:lang w:bidi="th-TH"/>
        </w:rPr>
        <w:t xml:space="preserve"> provides detailed information on the confidence values, including element weight, reliability of observable variables, and component score coefficients, for each component of digital information fluency skills among high school students. </w:t>
      </w:r>
    </w:p>
    <w:p w14:paraId="1EB76F90" w14:textId="77777777" w:rsidR="0040443F" w:rsidRPr="0084778E" w:rsidRDefault="0040443F" w:rsidP="00304C08">
      <w:pPr>
        <w:pStyle w:val="NoSpacing"/>
        <w:spacing w:line="360" w:lineRule="auto"/>
        <w:jc w:val="both"/>
        <w:rPr>
          <w:rFonts w:ascii="Times New Roman" w:hAnsi="Times New Roman" w:cs="Times New Roman"/>
          <w:sz w:val="20"/>
          <w:szCs w:val="20"/>
          <w:lang w:bidi="th-TH"/>
        </w:rPr>
      </w:pPr>
    </w:p>
    <w:p w14:paraId="7E3FB216" w14:textId="508A463F" w:rsidR="00304C08" w:rsidRPr="0084778E" w:rsidRDefault="00000000" w:rsidP="00304C08">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Element Weight (α): This column indicates the reliability or internal consistency of each component, measured by Cronbach's alpha (α). Higher values of α suggest greater reliability, indicating that the observed variables within each component are highly correlated and measure the same underlying construct. In this analysis, all components exhibit </w:t>
      </w:r>
      <w:r w:rsidR="00ED4C2C">
        <w:rPr>
          <w:rFonts w:ascii="Times New Roman" w:hAnsi="Times New Roman" w:cs="Times New Roman"/>
          <w:sz w:val="20"/>
          <w:szCs w:val="20"/>
          <w:lang w:bidi="th-TH"/>
        </w:rPr>
        <w:t xml:space="preserve">acceptable </w:t>
      </w:r>
      <w:r w:rsidRPr="0084778E">
        <w:rPr>
          <w:rFonts w:ascii="Times New Roman" w:hAnsi="Times New Roman" w:cs="Times New Roman"/>
          <w:sz w:val="20"/>
          <w:szCs w:val="20"/>
          <w:lang w:bidi="th-TH"/>
        </w:rPr>
        <w:t xml:space="preserve">α values, ranging from 0.71 to 0.73, indicating </w:t>
      </w:r>
      <w:r w:rsidR="00ED4C2C">
        <w:rPr>
          <w:rFonts w:ascii="Times New Roman" w:hAnsi="Times New Roman" w:cs="Times New Roman"/>
          <w:sz w:val="20"/>
          <w:szCs w:val="20"/>
          <w:lang w:bidi="th-TH"/>
        </w:rPr>
        <w:t xml:space="preserve">good </w:t>
      </w:r>
      <w:r w:rsidRPr="0084778E">
        <w:rPr>
          <w:rFonts w:ascii="Times New Roman" w:hAnsi="Times New Roman" w:cs="Times New Roman"/>
          <w:sz w:val="20"/>
          <w:szCs w:val="20"/>
          <w:lang w:bidi="th-TH"/>
        </w:rPr>
        <w:t>internal consistency.</w:t>
      </w:r>
    </w:p>
    <w:p w14:paraId="6CA000D5" w14:textId="77777777" w:rsidR="00304C08" w:rsidRPr="0084778E" w:rsidRDefault="00304C08" w:rsidP="00304C08">
      <w:pPr>
        <w:pStyle w:val="NoSpacing"/>
        <w:spacing w:line="360" w:lineRule="auto"/>
        <w:jc w:val="both"/>
        <w:rPr>
          <w:rFonts w:ascii="Times New Roman" w:hAnsi="Times New Roman" w:cs="Times New Roman"/>
          <w:sz w:val="20"/>
          <w:szCs w:val="20"/>
          <w:lang w:bidi="th-TH"/>
        </w:rPr>
      </w:pPr>
    </w:p>
    <w:p w14:paraId="514CDB8C" w14:textId="41B2FBFB" w:rsidR="00304C08" w:rsidRPr="0084778E" w:rsidRDefault="00000000" w:rsidP="00304C08">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Reliability of Observable Variables (</w:t>
      </w:r>
      <w:r w:rsidR="00ED4C2C" w:rsidRPr="00ED4C2C">
        <w:rPr>
          <w:rFonts w:ascii="Times New Roman" w:hAnsi="Times New Roman" w:cs="Times New Roman"/>
          <w:sz w:val="20"/>
          <w:szCs w:val="20"/>
        </w:rPr>
        <w:t>β(SE)</w:t>
      </w:r>
      <w:r w:rsidRPr="0084778E">
        <w:rPr>
          <w:rFonts w:ascii="Times New Roman" w:hAnsi="Times New Roman" w:cs="Times New Roman"/>
          <w:sz w:val="20"/>
          <w:szCs w:val="20"/>
          <w:lang w:bidi="th-TH"/>
        </w:rPr>
        <w:t>and t): This section assesses the reliability of individual observable variables within each component. The parameter '</w:t>
      </w:r>
      <w:r w:rsidR="00ED4C2C" w:rsidRPr="00ED4C2C">
        <w:rPr>
          <w:rFonts w:ascii="Times New Roman" w:hAnsi="Times New Roman" w:cs="Times New Roman"/>
          <w:sz w:val="20"/>
          <w:szCs w:val="20"/>
        </w:rPr>
        <w:t xml:space="preserve"> β</w:t>
      </w:r>
      <w:r w:rsidR="00ED4C2C" w:rsidRPr="0084778E">
        <w:rPr>
          <w:rFonts w:ascii="Times New Roman" w:hAnsi="Times New Roman" w:cs="Times New Roman"/>
          <w:sz w:val="20"/>
          <w:szCs w:val="20"/>
          <w:lang w:bidi="th-TH"/>
        </w:rPr>
        <w:t xml:space="preserve"> </w:t>
      </w:r>
      <w:r w:rsidRPr="0084778E">
        <w:rPr>
          <w:rFonts w:ascii="Times New Roman" w:hAnsi="Times New Roman" w:cs="Times New Roman"/>
          <w:sz w:val="20"/>
          <w:szCs w:val="20"/>
          <w:lang w:bidi="th-TH"/>
        </w:rPr>
        <w:t xml:space="preserve">' represents the unstandardized regression coefficient, while 'SE' denotes the standard error, and 't' signifies the t-value. A higher t-value indicates greater reliability and statistical significance of the variable. Notably, for most variables, the t-values are statistically significant at the </w:t>
      </w:r>
      <w:r w:rsidRPr="0084778E">
        <w:rPr>
          <w:rFonts w:ascii="Times New Roman" w:hAnsi="Times New Roman" w:cs="Times New Roman"/>
          <w:i/>
          <w:iCs/>
          <w:sz w:val="20"/>
          <w:szCs w:val="20"/>
          <w:lang w:bidi="th-TH"/>
        </w:rPr>
        <w:t>p</w:t>
      </w:r>
      <w:r w:rsidRPr="0084778E">
        <w:rPr>
          <w:rFonts w:ascii="Times New Roman" w:hAnsi="Times New Roman" w:cs="Times New Roman"/>
          <w:sz w:val="20"/>
          <w:szCs w:val="20"/>
          <w:lang w:bidi="th-TH"/>
        </w:rPr>
        <w:t xml:space="preserve"> &lt; .01 level, indicating robust reliability.</w:t>
      </w:r>
    </w:p>
    <w:p w14:paraId="0C8F608E" w14:textId="77777777" w:rsidR="00304C08" w:rsidRPr="0084778E" w:rsidRDefault="00304C08" w:rsidP="00304C08">
      <w:pPr>
        <w:pStyle w:val="NoSpacing"/>
        <w:spacing w:line="360" w:lineRule="auto"/>
        <w:jc w:val="both"/>
        <w:rPr>
          <w:rFonts w:ascii="Times New Roman" w:hAnsi="Times New Roman" w:cs="Times New Roman"/>
          <w:sz w:val="20"/>
          <w:szCs w:val="20"/>
          <w:lang w:bidi="th-TH"/>
        </w:rPr>
      </w:pPr>
    </w:p>
    <w:p w14:paraId="7377E121" w14:textId="20682217" w:rsidR="00304C08" w:rsidRPr="0084778E" w:rsidRDefault="00000000" w:rsidP="00304C08">
      <w:pPr>
        <w:pStyle w:val="NoSpacing"/>
        <w:spacing w:line="360" w:lineRule="auto"/>
        <w:jc w:val="both"/>
        <w:rPr>
          <w:rFonts w:ascii="Times New Roman" w:hAnsi="Times New Roman" w:cs="Times New Roman"/>
          <w:sz w:val="20"/>
          <w:szCs w:val="20"/>
          <w:lang w:bidi="th-TH"/>
        </w:rPr>
      </w:pPr>
      <w:r w:rsidRPr="00FF58D3">
        <w:rPr>
          <w:rFonts w:ascii="Times New Roman" w:hAnsi="Times New Roman" w:cs="Times New Roman"/>
          <w:sz w:val="20"/>
          <w:szCs w:val="20"/>
          <w:lang w:bidi="th-TH"/>
        </w:rPr>
        <w:t xml:space="preserve">Component </w:t>
      </w:r>
      <w:r w:rsidR="00FF58D3" w:rsidRPr="00FF58D3">
        <w:rPr>
          <w:rFonts w:ascii="Times New Roman" w:hAnsi="Times New Roman" w:cs="Times New Roman"/>
          <w:sz w:val="20"/>
          <w:szCs w:val="20"/>
        </w:rPr>
        <w:t>coefficient of determination</w:t>
      </w:r>
      <w:r w:rsidR="00FF58D3" w:rsidRPr="0084778E">
        <w:rPr>
          <w:rFonts w:ascii="Times New Roman" w:hAnsi="Times New Roman" w:cs="Times New Roman"/>
          <w:sz w:val="20"/>
          <w:szCs w:val="20"/>
          <w:lang w:bidi="th-TH"/>
        </w:rPr>
        <w:t xml:space="preserve"> </w:t>
      </w:r>
      <w:r w:rsidRPr="0084778E">
        <w:rPr>
          <w:rFonts w:ascii="Times New Roman" w:hAnsi="Times New Roman" w:cs="Times New Roman"/>
          <w:sz w:val="20"/>
          <w:szCs w:val="20"/>
          <w:lang w:bidi="th-TH"/>
        </w:rPr>
        <w:t>(R</w:t>
      </w:r>
      <w:r w:rsidRPr="0084778E">
        <w:rPr>
          <w:rFonts w:ascii="Times New Roman" w:hAnsi="Times New Roman" w:cs="Times New Roman"/>
          <w:sz w:val="20"/>
          <w:szCs w:val="20"/>
          <w:vertAlign w:val="superscript"/>
          <w:lang w:bidi="th-TH"/>
        </w:rPr>
        <w:t>2</w:t>
      </w:r>
      <w:r w:rsidRPr="0084778E">
        <w:rPr>
          <w:rFonts w:ascii="Times New Roman" w:hAnsi="Times New Roman" w:cs="Times New Roman"/>
          <w:sz w:val="20"/>
          <w:szCs w:val="20"/>
          <w:lang w:bidi="th-TH"/>
        </w:rPr>
        <w:t>): The component R</w:t>
      </w:r>
      <w:r w:rsidRPr="0084778E">
        <w:rPr>
          <w:rFonts w:ascii="Times New Roman" w:hAnsi="Times New Roman" w:cs="Times New Roman"/>
          <w:sz w:val="20"/>
          <w:szCs w:val="20"/>
          <w:vertAlign w:val="superscript"/>
          <w:lang w:bidi="th-TH"/>
        </w:rPr>
        <w:t>2</w:t>
      </w:r>
      <w:r w:rsidRPr="0084778E">
        <w:rPr>
          <w:rFonts w:ascii="Times New Roman" w:hAnsi="Times New Roman" w:cs="Times New Roman"/>
          <w:sz w:val="20"/>
          <w:szCs w:val="20"/>
          <w:lang w:bidi="th-TH"/>
        </w:rPr>
        <w:t xml:space="preserve"> measures the proportion of variance in the component explained by the observed variables. Higher R</w:t>
      </w:r>
      <w:r w:rsidRPr="0084778E">
        <w:rPr>
          <w:rFonts w:ascii="Times New Roman" w:hAnsi="Times New Roman" w:cs="Times New Roman"/>
          <w:sz w:val="20"/>
          <w:szCs w:val="20"/>
          <w:vertAlign w:val="superscript"/>
          <w:lang w:bidi="th-TH"/>
        </w:rPr>
        <w:t>2</w:t>
      </w:r>
      <w:r w:rsidRPr="0084778E">
        <w:rPr>
          <w:rFonts w:ascii="Times New Roman" w:hAnsi="Times New Roman" w:cs="Times New Roman"/>
          <w:sz w:val="20"/>
          <w:szCs w:val="20"/>
          <w:lang w:bidi="th-TH"/>
        </w:rPr>
        <w:t xml:space="preserve"> values indicate a stronger relationship between the observed variables and the component</w:t>
      </w:r>
      <w:r w:rsidR="00FF58D3">
        <w:rPr>
          <w:rFonts w:ascii="Times New Roman" w:hAnsi="Times New Roman" w:cs="Times New Roman"/>
          <w:sz w:val="20"/>
          <w:szCs w:val="20"/>
          <w:lang w:bidi="th-TH"/>
        </w:rPr>
        <w:t xml:space="preserve"> </w:t>
      </w:r>
      <w:r w:rsidR="00FF58D3">
        <w:t>s (</w:t>
      </w:r>
      <w:r w:rsidR="00FF58D3" w:rsidRPr="00FF58D3">
        <w:rPr>
          <w:rFonts w:ascii="Times New Roman" w:hAnsi="Times New Roman" w:cs="Times New Roman"/>
          <w:sz w:val="20"/>
          <w:szCs w:val="20"/>
        </w:rPr>
        <w:t>Chicco et al., 2021).</w:t>
      </w:r>
      <w:r w:rsidRPr="00FF58D3">
        <w:rPr>
          <w:rFonts w:ascii="Times New Roman" w:hAnsi="Times New Roman" w:cs="Times New Roman"/>
          <w:sz w:val="20"/>
          <w:szCs w:val="20"/>
          <w:lang w:bidi="th-TH"/>
        </w:rPr>
        <w:t xml:space="preserve"> In this</w:t>
      </w:r>
      <w:r w:rsidRPr="0084778E">
        <w:rPr>
          <w:rFonts w:ascii="Times New Roman" w:hAnsi="Times New Roman" w:cs="Times New Roman"/>
          <w:sz w:val="20"/>
          <w:szCs w:val="20"/>
          <w:lang w:bidi="th-TH"/>
        </w:rPr>
        <w:t xml:space="preserve"> analysis, all components exhibit substantial </w:t>
      </w:r>
      <w:r w:rsidRPr="0084778E">
        <w:rPr>
          <w:rFonts w:ascii="Times New Roman" w:hAnsi="Times New Roman" w:cs="Times New Roman"/>
          <w:sz w:val="20"/>
          <w:szCs w:val="20"/>
          <w:lang w:bidi="th-TH"/>
        </w:rPr>
        <w:lastRenderedPageBreak/>
        <w:t>R</w:t>
      </w:r>
      <w:r w:rsidRPr="0084778E">
        <w:rPr>
          <w:rFonts w:ascii="Times New Roman" w:hAnsi="Times New Roman" w:cs="Times New Roman"/>
          <w:sz w:val="20"/>
          <w:szCs w:val="20"/>
          <w:vertAlign w:val="superscript"/>
          <w:lang w:bidi="th-TH"/>
        </w:rPr>
        <w:t>2</w:t>
      </w:r>
      <w:r w:rsidRPr="0084778E">
        <w:rPr>
          <w:rFonts w:ascii="Times New Roman" w:hAnsi="Times New Roman" w:cs="Times New Roman"/>
          <w:sz w:val="20"/>
          <w:szCs w:val="20"/>
          <w:lang w:bidi="th-TH"/>
        </w:rPr>
        <w:t xml:space="preserve"> values, ranging from 0.83 to 1.00, suggesting that the observed variables contribute significantly to the overall component.</w:t>
      </w:r>
    </w:p>
    <w:p w14:paraId="59049C02" w14:textId="77777777" w:rsidR="00304C08" w:rsidRPr="0084778E" w:rsidRDefault="00304C08" w:rsidP="00304C08">
      <w:pPr>
        <w:pStyle w:val="NoSpacing"/>
        <w:spacing w:line="360" w:lineRule="auto"/>
        <w:jc w:val="both"/>
        <w:rPr>
          <w:rFonts w:ascii="Times New Roman" w:hAnsi="Times New Roman" w:cs="Times New Roman"/>
          <w:sz w:val="20"/>
          <w:szCs w:val="20"/>
          <w:lang w:bidi="th-TH"/>
        </w:rPr>
      </w:pPr>
    </w:p>
    <w:p w14:paraId="20E1DDA8" w14:textId="77777777" w:rsidR="00304C08" w:rsidRPr="0084778E" w:rsidRDefault="00000000" w:rsidP="00304C08">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The importance of this analysis lies in its ability to provide insights into the reliability and validity of the digital information fluency skills model among high school students. By assessing the internal consistency of components and the reliability of individual observable variables, researchers can ascertain the robustness of the measurement model. Moreover, the component score coefficients offer valuable information on the extent to which observed variables contribute to the underlying constructs, thereby enhancing our understanding of the structure and dynamics of digital information fluency skills.</w:t>
      </w:r>
    </w:p>
    <w:p w14:paraId="14014336" w14:textId="77777777" w:rsidR="00304C08" w:rsidRPr="0084778E" w:rsidRDefault="00304C08" w:rsidP="00304C08">
      <w:pPr>
        <w:pStyle w:val="NoSpacing"/>
        <w:spacing w:line="360" w:lineRule="auto"/>
        <w:jc w:val="both"/>
        <w:rPr>
          <w:rFonts w:ascii="Times New Roman" w:hAnsi="Times New Roman" w:cs="Times New Roman"/>
          <w:sz w:val="20"/>
          <w:szCs w:val="20"/>
          <w:lang w:bidi="th-TH"/>
        </w:rPr>
      </w:pPr>
    </w:p>
    <w:p w14:paraId="0F7C258B" w14:textId="77777777" w:rsidR="00304C08" w:rsidRPr="0084778E" w:rsidRDefault="00000000" w:rsidP="00304C08">
      <w:pPr>
        <w:pStyle w:val="NoSpacing"/>
        <w:spacing w:line="360" w:lineRule="auto"/>
        <w:jc w:val="both"/>
        <w:rPr>
          <w:rFonts w:ascii="Times New Roman" w:hAnsi="Times New Roman" w:cs="Times New Roman"/>
          <w:sz w:val="20"/>
          <w:szCs w:val="20"/>
        </w:rPr>
      </w:pPr>
      <w:r w:rsidRPr="0084778E">
        <w:rPr>
          <w:rFonts w:ascii="Times New Roman" w:hAnsi="Times New Roman" w:cs="Times New Roman"/>
          <w:sz w:val="20"/>
          <w:szCs w:val="20"/>
          <w:lang w:bidi="th-TH"/>
        </w:rPr>
        <w:t>Overall, this detailed analysis enables researchers and educators to make informed decisions regarding the development and implementation of interventions aimed at enhancing students' digital information fluency skills. It provides a comprehensive assessment of the model's psychometric properties, laying the foundation for effective curriculum design, instructional strategies, and assessment practices tailored to students' needs and abilities.</w:t>
      </w:r>
    </w:p>
    <w:p w14:paraId="28B8FE71" w14:textId="77777777" w:rsidR="00304C08" w:rsidRPr="0084778E" w:rsidRDefault="00304C08" w:rsidP="00304C08">
      <w:pPr>
        <w:pStyle w:val="NoSpacing"/>
        <w:spacing w:line="360" w:lineRule="auto"/>
        <w:rPr>
          <w:rFonts w:ascii="Times New Roman" w:hAnsi="Times New Roman" w:cs="Times New Roman"/>
          <w:sz w:val="20"/>
          <w:szCs w:val="20"/>
          <w:lang w:bidi="th-TH"/>
        </w:rPr>
      </w:pPr>
    </w:p>
    <w:p w14:paraId="5C0610B0" w14:textId="77777777" w:rsidR="00304C08" w:rsidRPr="0084778E" w:rsidRDefault="00000000" w:rsidP="00304C08">
      <w:pPr>
        <w:pStyle w:val="NoSpacing"/>
        <w:spacing w:line="360" w:lineRule="auto"/>
        <w:jc w:val="center"/>
        <w:rPr>
          <w:rFonts w:ascii="Times New Roman" w:hAnsi="Times New Roman" w:cs="Times New Roman"/>
          <w:sz w:val="20"/>
          <w:szCs w:val="20"/>
          <w:lang w:bidi="th-TH"/>
        </w:rPr>
      </w:pPr>
      <w:r w:rsidRPr="0084778E">
        <w:rPr>
          <w:rFonts w:ascii="Times New Roman" w:hAnsi="Times New Roman" w:cs="Times New Roman"/>
          <w:sz w:val="20"/>
          <w:szCs w:val="20"/>
          <w:lang w:bidi="th-TH"/>
        </w:rPr>
        <w:t xml:space="preserve">Table </w:t>
      </w:r>
      <w:r w:rsidR="000E5449" w:rsidRPr="0084778E">
        <w:rPr>
          <w:rFonts w:ascii="Times New Roman" w:hAnsi="Times New Roman" w:cs="Times New Roman"/>
          <w:sz w:val="20"/>
          <w:szCs w:val="20"/>
          <w:lang w:bidi="th-TH"/>
        </w:rPr>
        <w:t>6</w:t>
      </w:r>
      <w:r w:rsidRPr="0084778E">
        <w:rPr>
          <w:rFonts w:ascii="Times New Roman" w:hAnsi="Times New Roman" w:cs="Times New Roman"/>
          <w:sz w:val="20"/>
          <w:szCs w:val="20"/>
          <w:lang w:bidi="th-TH"/>
        </w:rPr>
        <w:t>.</w:t>
      </w:r>
      <w:r w:rsidRPr="0084778E">
        <w:rPr>
          <w:rFonts w:ascii="Times New Roman" w:hAnsi="Times New Roman" w:cs="Times New Roman"/>
          <w:b/>
          <w:bCs/>
          <w:sz w:val="20"/>
          <w:szCs w:val="20"/>
          <w:lang w:bidi="th-TH"/>
        </w:rPr>
        <w:t xml:space="preserve"> </w:t>
      </w:r>
      <w:r w:rsidRPr="0084778E">
        <w:rPr>
          <w:rFonts w:ascii="Times New Roman" w:hAnsi="Times New Roman" w:cs="Times New Roman"/>
          <w:sz w:val="20"/>
          <w:szCs w:val="20"/>
          <w:lang w:bidi="th-TH"/>
        </w:rPr>
        <w:t xml:space="preserve">Analysis of Confidence Values and Reliability Measures </w:t>
      </w:r>
    </w:p>
    <w:tbl>
      <w:tblPr>
        <w:tblStyle w:val="TableGrid"/>
        <w:tblW w:w="0" w:type="auto"/>
        <w:jc w:val="center"/>
        <w:tblLook w:val="04A0" w:firstRow="1" w:lastRow="0" w:firstColumn="1" w:lastColumn="0" w:noHBand="0" w:noVBand="1"/>
      </w:tblPr>
      <w:tblGrid>
        <w:gridCol w:w="4924"/>
        <w:gridCol w:w="623"/>
        <w:gridCol w:w="1497"/>
        <w:gridCol w:w="977"/>
        <w:gridCol w:w="994"/>
      </w:tblGrid>
      <w:tr w:rsidR="00FE5EC8" w14:paraId="7C7C7A4F" w14:textId="77777777" w:rsidTr="00FF58D3">
        <w:trPr>
          <w:tblHeader/>
          <w:jc w:val="center"/>
        </w:trPr>
        <w:tc>
          <w:tcPr>
            <w:tcW w:w="4924" w:type="dxa"/>
            <w:tcBorders>
              <w:left w:val="single" w:sz="4" w:space="0" w:color="FFFFFF" w:themeColor="background1"/>
              <w:bottom w:val="single" w:sz="4" w:space="0" w:color="auto"/>
            </w:tcBorders>
            <w:vAlign w:val="center"/>
          </w:tcPr>
          <w:p w14:paraId="6FBB0F65" w14:textId="77777777" w:rsidR="0040443F" w:rsidRPr="0084778E" w:rsidRDefault="00000000" w:rsidP="00744DFA">
            <w:pPr>
              <w:pStyle w:val="NoSpacing"/>
              <w:jc w:val="center"/>
              <w:rPr>
                <w:rFonts w:ascii="Times New Roman" w:hAnsi="Times New Roman" w:cs="Times New Roman"/>
                <w:b/>
                <w:bCs/>
                <w:sz w:val="20"/>
                <w:szCs w:val="20"/>
                <w:cs/>
                <w:lang w:val="en-US" w:bidi="th-TH"/>
              </w:rPr>
            </w:pPr>
            <w:r w:rsidRPr="0084778E">
              <w:rPr>
                <w:rFonts w:ascii="Times New Roman" w:hAnsi="Times New Roman" w:cs="Times New Roman"/>
                <w:b/>
                <w:bCs/>
                <w:sz w:val="20"/>
                <w:szCs w:val="20"/>
                <w:lang w:val="en-US" w:bidi="th-TH"/>
              </w:rPr>
              <w:t>Element/Indicator</w:t>
            </w:r>
          </w:p>
        </w:tc>
        <w:tc>
          <w:tcPr>
            <w:tcW w:w="623" w:type="dxa"/>
            <w:tcBorders>
              <w:bottom w:val="single" w:sz="4" w:space="0" w:color="auto"/>
            </w:tcBorders>
            <w:vAlign w:val="center"/>
          </w:tcPr>
          <w:p w14:paraId="764A7F43" w14:textId="77777777" w:rsidR="0040443F" w:rsidRPr="0084778E" w:rsidRDefault="00000000" w:rsidP="00744DFA">
            <w:pPr>
              <w:pStyle w:val="Default"/>
              <w:jc w:val="center"/>
              <w:rPr>
                <w:rFonts w:ascii="Times New Roman" w:hAnsi="Times New Roman" w:cs="Times New Roman"/>
                <w:b/>
                <w:bCs/>
                <w:color w:val="auto"/>
                <w:sz w:val="20"/>
                <w:szCs w:val="20"/>
                <w:cs/>
              </w:rPr>
            </w:pPr>
            <w:r w:rsidRPr="0084778E">
              <w:rPr>
                <w:rFonts w:ascii="Times New Roman" w:hAnsi="Times New Roman" w:cs="Times New Roman"/>
                <w:b/>
                <w:bCs/>
                <w:color w:val="auto"/>
                <w:sz w:val="20"/>
                <w:szCs w:val="20"/>
                <w:cs/>
              </w:rPr>
              <w:t>(</w:t>
            </w:r>
            <w:r w:rsidRPr="0084778E">
              <w:rPr>
                <w:rFonts w:ascii="Times New Roman" w:hAnsi="Times New Roman" w:cs="Times New Roman"/>
                <w:b/>
                <w:bCs/>
                <w:color w:val="auto"/>
                <w:sz w:val="20"/>
                <w:szCs w:val="20"/>
              </w:rPr>
              <w:t>α</w:t>
            </w:r>
            <w:r w:rsidRPr="0084778E">
              <w:rPr>
                <w:rFonts w:ascii="Times New Roman" w:hAnsi="Times New Roman" w:cs="Times New Roman"/>
                <w:b/>
                <w:bCs/>
                <w:color w:val="auto"/>
                <w:sz w:val="20"/>
                <w:szCs w:val="20"/>
                <w:cs/>
              </w:rPr>
              <w:t>)</w:t>
            </w:r>
          </w:p>
        </w:tc>
        <w:tc>
          <w:tcPr>
            <w:tcW w:w="1497" w:type="dxa"/>
            <w:tcBorders>
              <w:bottom w:val="single" w:sz="4" w:space="0" w:color="auto"/>
            </w:tcBorders>
            <w:vAlign w:val="center"/>
          </w:tcPr>
          <w:p w14:paraId="23012AFF" w14:textId="7DC2C45D" w:rsidR="0040443F" w:rsidRPr="00FF58D3" w:rsidRDefault="00ED4C2C" w:rsidP="00744DFA">
            <w:pPr>
              <w:pStyle w:val="Default"/>
              <w:jc w:val="center"/>
              <w:rPr>
                <w:rFonts w:ascii="Times New Roman" w:hAnsi="Times New Roman" w:cs="Times New Roman"/>
                <w:b/>
                <w:bCs/>
                <w:color w:val="auto"/>
                <w:sz w:val="20"/>
                <w:szCs w:val="20"/>
              </w:rPr>
            </w:pPr>
            <w:r w:rsidRPr="00FF58D3">
              <w:rPr>
                <w:rFonts w:ascii="Times New Roman" w:hAnsi="Times New Roman" w:cs="Times New Roman"/>
                <w:b/>
                <w:bCs/>
                <w:sz w:val="20"/>
                <w:szCs w:val="20"/>
              </w:rPr>
              <w:t>β(SE)</w:t>
            </w:r>
          </w:p>
        </w:tc>
        <w:tc>
          <w:tcPr>
            <w:tcW w:w="977" w:type="dxa"/>
            <w:tcBorders>
              <w:bottom w:val="single" w:sz="4" w:space="0" w:color="auto"/>
            </w:tcBorders>
            <w:vAlign w:val="center"/>
          </w:tcPr>
          <w:p w14:paraId="7EDB43A3" w14:textId="77777777" w:rsidR="0040443F" w:rsidRPr="0084778E" w:rsidRDefault="00000000" w:rsidP="00744DFA">
            <w:pPr>
              <w:pStyle w:val="Default"/>
              <w:jc w:val="center"/>
              <w:rPr>
                <w:rFonts w:ascii="Times New Roman" w:hAnsi="Times New Roman" w:cs="Times New Roman"/>
                <w:b/>
                <w:bCs/>
                <w:color w:val="auto"/>
                <w:sz w:val="20"/>
                <w:szCs w:val="20"/>
              </w:rPr>
            </w:pPr>
            <w:r w:rsidRPr="0084778E">
              <w:rPr>
                <w:rFonts w:ascii="Times New Roman" w:hAnsi="Times New Roman" w:cs="Times New Roman"/>
                <w:b/>
                <w:bCs/>
                <w:color w:val="auto"/>
                <w:sz w:val="20"/>
                <w:szCs w:val="20"/>
                <w:cs/>
              </w:rPr>
              <w:t>(</w:t>
            </w:r>
            <w:r w:rsidRPr="0084778E">
              <w:rPr>
                <w:rFonts w:ascii="Times New Roman" w:hAnsi="Times New Roman" w:cs="Times New Roman"/>
                <w:b/>
                <w:bCs/>
                <w:color w:val="auto"/>
                <w:sz w:val="20"/>
                <w:szCs w:val="20"/>
              </w:rPr>
              <w:t>t</w:t>
            </w:r>
            <w:r w:rsidRPr="0084778E">
              <w:rPr>
                <w:rFonts w:ascii="Times New Roman" w:hAnsi="Times New Roman" w:cs="Times New Roman"/>
                <w:b/>
                <w:bCs/>
                <w:color w:val="auto"/>
                <w:sz w:val="20"/>
                <w:szCs w:val="20"/>
                <w:cs/>
              </w:rPr>
              <w:t>)</w:t>
            </w:r>
          </w:p>
        </w:tc>
        <w:tc>
          <w:tcPr>
            <w:tcW w:w="994" w:type="dxa"/>
            <w:tcBorders>
              <w:bottom w:val="single" w:sz="4" w:space="0" w:color="auto"/>
              <w:right w:val="single" w:sz="4" w:space="0" w:color="FFFFFF" w:themeColor="background1"/>
            </w:tcBorders>
            <w:vAlign w:val="center"/>
          </w:tcPr>
          <w:p w14:paraId="3CBEBD99" w14:textId="77777777" w:rsidR="0040443F" w:rsidRPr="0084778E" w:rsidRDefault="00000000" w:rsidP="00744DFA">
            <w:pPr>
              <w:pStyle w:val="Default"/>
              <w:jc w:val="center"/>
              <w:rPr>
                <w:rFonts w:ascii="Times New Roman" w:hAnsi="Times New Roman" w:cs="Times New Roman"/>
                <w:b/>
                <w:bCs/>
                <w:color w:val="auto"/>
                <w:sz w:val="20"/>
                <w:szCs w:val="20"/>
              </w:rPr>
            </w:pPr>
            <w:r w:rsidRPr="0084778E">
              <w:rPr>
                <w:rFonts w:ascii="Times New Roman" w:hAnsi="Times New Roman" w:cs="Times New Roman"/>
                <w:b/>
                <w:bCs/>
                <w:color w:val="auto"/>
                <w:sz w:val="20"/>
                <w:szCs w:val="20"/>
                <w:cs/>
              </w:rPr>
              <w:t>(</w:t>
            </w:r>
            <w:r w:rsidRPr="0084778E">
              <w:rPr>
                <w:rFonts w:ascii="Times New Roman" w:hAnsi="Times New Roman" w:cs="Times New Roman"/>
                <w:b/>
                <w:bCs/>
                <w:color w:val="auto"/>
                <w:sz w:val="20"/>
                <w:szCs w:val="20"/>
              </w:rPr>
              <w:t>R</w:t>
            </w:r>
            <w:r w:rsidRPr="0084778E">
              <w:rPr>
                <w:rFonts w:ascii="Times New Roman" w:hAnsi="Times New Roman" w:cs="Times New Roman"/>
                <w:b/>
                <w:bCs/>
                <w:color w:val="auto"/>
                <w:sz w:val="20"/>
                <w:szCs w:val="20"/>
                <w:vertAlign w:val="superscript"/>
              </w:rPr>
              <w:t>2</w:t>
            </w:r>
            <w:r w:rsidRPr="0084778E">
              <w:rPr>
                <w:rFonts w:ascii="Times New Roman" w:hAnsi="Times New Roman" w:cs="Times New Roman"/>
                <w:b/>
                <w:bCs/>
                <w:color w:val="auto"/>
                <w:sz w:val="20"/>
                <w:szCs w:val="20"/>
                <w:cs/>
              </w:rPr>
              <w:t>)</w:t>
            </w:r>
          </w:p>
        </w:tc>
      </w:tr>
      <w:tr w:rsidR="00FE5EC8" w14:paraId="6B6285EB" w14:textId="77777777" w:rsidTr="00FF58D3">
        <w:trPr>
          <w:jc w:val="center"/>
        </w:trPr>
        <w:tc>
          <w:tcPr>
            <w:tcW w:w="4924" w:type="dxa"/>
            <w:tcBorders>
              <w:left w:val="single" w:sz="4" w:space="0" w:color="FFFFFF" w:themeColor="background1"/>
              <w:bottom w:val="nil"/>
            </w:tcBorders>
          </w:tcPr>
          <w:p w14:paraId="4E6D1FD6" w14:textId="77777777" w:rsidR="0040443F" w:rsidRPr="0084778E" w:rsidRDefault="00000000" w:rsidP="00744DFA">
            <w:pPr>
              <w:pStyle w:val="NoSpacing"/>
              <w:rPr>
                <w:rFonts w:ascii="Times New Roman" w:hAnsi="Times New Roman" w:cs="Times New Roman"/>
                <w:b/>
                <w:bCs/>
                <w:sz w:val="20"/>
                <w:szCs w:val="20"/>
                <w:lang w:val="en-US" w:bidi="th-TH"/>
              </w:rPr>
            </w:pPr>
            <w:r w:rsidRPr="0084778E">
              <w:rPr>
                <w:rFonts w:ascii="Times New Roman" w:hAnsi="Times New Roman" w:cs="Times New Roman"/>
                <w:b/>
                <w:bCs/>
                <w:sz w:val="20"/>
                <w:szCs w:val="20"/>
              </w:rPr>
              <w:t>Digital Information Management (DIM)</w:t>
            </w:r>
          </w:p>
        </w:tc>
        <w:tc>
          <w:tcPr>
            <w:tcW w:w="623" w:type="dxa"/>
            <w:tcBorders>
              <w:bottom w:val="nil"/>
            </w:tcBorders>
            <w:vAlign w:val="center"/>
          </w:tcPr>
          <w:p w14:paraId="4B6B2763"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0.71</w:t>
            </w:r>
          </w:p>
        </w:tc>
        <w:tc>
          <w:tcPr>
            <w:tcW w:w="1497" w:type="dxa"/>
            <w:tcBorders>
              <w:bottom w:val="nil"/>
            </w:tcBorders>
            <w:vAlign w:val="center"/>
          </w:tcPr>
          <w:p w14:paraId="68D2E837"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0.91(0.09)</w:t>
            </w:r>
          </w:p>
        </w:tc>
        <w:tc>
          <w:tcPr>
            <w:tcW w:w="977" w:type="dxa"/>
            <w:tcBorders>
              <w:bottom w:val="nil"/>
            </w:tcBorders>
            <w:vAlign w:val="center"/>
          </w:tcPr>
          <w:p w14:paraId="7E236B5B"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9.85</w:t>
            </w:r>
            <w:r w:rsidRPr="0084778E">
              <w:rPr>
                <w:rFonts w:ascii="Times New Roman" w:hAnsi="Times New Roman" w:cs="Times New Roman"/>
                <w:sz w:val="20"/>
                <w:szCs w:val="20"/>
              </w:rPr>
              <w:t>**</w:t>
            </w:r>
          </w:p>
        </w:tc>
        <w:tc>
          <w:tcPr>
            <w:tcW w:w="994" w:type="dxa"/>
            <w:tcBorders>
              <w:bottom w:val="nil"/>
              <w:right w:val="single" w:sz="4" w:space="0" w:color="FFFFFF" w:themeColor="background1"/>
            </w:tcBorders>
            <w:vAlign w:val="center"/>
          </w:tcPr>
          <w:p w14:paraId="2FDA790C"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0.83</w:t>
            </w:r>
          </w:p>
        </w:tc>
      </w:tr>
      <w:tr w:rsidR="00FE5EC8" w14:paraId="0E49231A" w14:textId="77777777" w:rsidTr="00FF58D3">
        <w:trPr>
          <w:jc w:val="center"/>
        </w:trPr>
        <w:tc>
          <w:tcPr>
            <w:tcW w:w="4924" w:type="dxa"/>
            <w:tcBorders>
              <w:top w:val="nil"/>
              <w:left w:val="single" w:sz="4" w:space="0" w:color="FFFFFF" w:themeColor="background1"/>
              <w:bottom w:val="nil"/>
            </w:tcBorders>
          </w:tcPr>
          <w:p w14:paraId="3DB869EE" w14:textId="77777777" w:rsidR="0040443F"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Specify required information (A1)</w:t>
            </w:r>
          </w:p>
        </w:tc>
        <w:tc>
          <w:tcPr>
            <w:tcW w:w="623" w:type="dxa"/>
            <w:tcBorders>
              <w:top w:val="nil"/>
              <w:bottom w:val="nil"/>
            </w:tcBorders>
            <w:vAlign w:val="center"/>
          </w:tcPr>
          <w:p w14:paraId="66C4961E"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1EBFE1C1"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0.58</w:t>
            </w:r>
          </w:p>
        </w:tc>
        <w:tc>
          <w:tcPr>
            <w:tcW w:w="977" w:type="dxa"/>
            <w:tcBorders>
              <w:top w:val="nil"/>
              <w:bottom w:val="nil"/>
            </w:tcBorders>
            <w:vAlign w:val="center"/>
          </w:tcPr>
          <w:p w14:paraId="42446F52"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w:t>
            </w:r>
          </w:p>
        </w:tc>
        <w:tc>
          <w:tcPr>
            <w:tcW w:w="994" w:type="dxa"/>
            <w:tcBorders>
              <w:top w:val="nil"/>
              <w:bottom w:val="nil"/>
              <w:right w:val="single" w:sz="4" w:space="0" w:color="FFFFFF" w:themeColor="background1"/>
            </w:tcBorders>
            <w:vAlign w:val="center"/>
          </w:tcPr>
          <w:p w14:paraId="566F7E32"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0.33 </w:t>
            </w:r>
          </w:p>
        </w:tc>
      </w:tr>
      <w:tr w:rsidR="00FE5EC8" w14:paraId="0D5FD0DA" w14:textId="77777777" w:rsidTr="00FF58D3">
        <w:trPr>
          <w:jc w:val="center"/>
        </w:trPr>
        <w:tc>
          <w:tcPr>
            <w:tcW w:w="4924" w:type="dxa"/>
            <w:tcBorders>
              <w:top w:val="nil"/>
              <w:left w:val="single" w:sz="4" w:space="0" w:color="FFFFFF" w:themeColor="background1"/>
              <w:bottom w:val="nil"/>
            </w:tcBorders>
          </w:tcPr>
          <w:p w14:paraId="26D4553E" w14:textId="77777777" w:rsidR="0040443F"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Evaluate data (A2)</w:t>
            </w:r>
          </w:p>
        </w:tc>
        <w:tc>
          <w:tcPr>
            <w:tcW w:w="623" w:type="dxa"/>
            <w:tcBorders>
              <w:top w:val="nil"/>
              <w:bottom w:val="nil"/>
            </w:tcBorders>
            <w:vAlign w:val="center"/>
          </w:tcPr>
          <w:p w14:paraId="3AD6F93A"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6423E768"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0.71</w:t>
            </w:r>
          </w:p>
        </w:tc>
        <w:tc>
          <w:tcPr>
            <w:tcW w:w="977" w:type="dxa"/>
            <w:tcBorders>
              <w:top w:val="nil"/>
              <w:bottom w:val="nil"/>
            </w:tcBorders>
            <w:vAlign w:val="center"/>
          </w:tcPr>
          <w:p w14:paraId="5071699B"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9.29**</w:t>
            </w:r>
          </w:p>
        </w:tc>
        <w:tc>
          <w:tcPr>
            <w:tcW w:w="994" w:type="dxa"/>
            <w:tcBorders>
              <w:top w:val="nil"/>
              <w:bottom w:val="nil"/>
              <w:right w:val="single" w:sz="4" w:space="0" w:color="FFFFFF" w:themeColor="background1"/>
            </w:tcBorders>
            <w:vAlign w:val="center"/>
          </w:tcPr>
          <w:p w14:paraId="29ED3D92"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0.51 </w:t>
            </w:r>
          </w:p>
        </w:tc>
      </w:tr>
      <w:tr w:rsidR="00FE5EC8" w14:paraId="74A571FC" w14:textId="77777777" w:rsidTr="00FF58D3">
        <w:trPr>
          <w:jc w:val="center"/>
        </w:trPr>
        <w:tc>
          <w:tcPr>
            <w:tcW w:w="4924" w:type="dxa"/>
            <w:tcBorders>
              <w:top w:val="nil"/>
              <w:left w:val="single" w:sz="4" w:space="0" w:color="FFFFFF" w:themeColor="background1"/>
              <w:bottom w:val="single" w:sz="4" w:space="0" w:color="auto"/>
            </w:tcBorders>
          </w:tcPr>
          <w:p w14:paraId="2FDBE143" w14:textId="77777777" w:rsidR="0040443F"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sz w:val="20"/>
                <w:szCs w:val="20"/>
              </w:rPr>
              <w:t>Adjust data format (A3)</w:t>
            </w:r>
          </w:p>
        </w:tc>
        <w:tc>
          <w:tcPr>
            <w:tcW w:w="623" w:type="dxa"/>
            <w:tcBorders>
              <w:top w:val="nil"/>
              <w:bottom w:val="single" w:sz="4" w:space="0" w:color="auto"/>
            </w:tcBorders>
            <w:vAlign w:val="center"/>
          </w:tcPr>
          <w:p w14:paraId="215D854F"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single" w:sz="4" w:space="0" w:color="auto"/>
            </w:tcBorders>
            <w:vAlign w:val="center"/>
          </w:tcPr>
          <w:p w14:paraId="1BCFE37F"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0.61</w:t>
            </w:r>
          </w:p>
        </w:tc>
        <w:tc>
          <w:tcPr>
            <w:tcW w:w="977" w:type="dxa"/>
            <w:tcBorders>
              <w:top w:val="nil"/>
              <w:bottom w:val="single" w:sz="4" w:space="0" w:color="auto"/>
            </w:tcBorders>
            <w:vAlign w:val="center"/>
          </w:tcPr>
          <w:p w14:paraId="115730AB"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8.51**</w:t>
            </w:r>
          </w:p>
        </w:tc>
        <w:tc>
          <w:tcPr>
            <w:tcW w:w="994" w:type="dxa"/>
            <w:tcBorders>
              <w:top w:val="nil"/>
              <w:bottom w:val="single" w:sz="4" w:space="0" w:color="auto"/>
              <w:right w:val="single" w:sz="4" w:space="0" w:color="FFFFFF" w:themeColor="background1"/>
            </w:tcBorders>
            <w:vAlign w:val="center"/>
          </w:tcPr>
          <w:p w14:paraId="58F2C611"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0.38 </w:t>
            </w:r>
          </w:p>
        </w:tc>
      </w:tr>
      <w:tr w:rsidR="00FE5EC8" w14:paraId="17FD6929" w14:textId="77777777" w:rsidTr="00FF58D3">
        <w:trPr>
          <w:jc w:val="center"/>
        </w:trPr>
        <w:tc>
          <w:tcPr>
            <w:tcW w:w="4924" w:type="dxa"/>
            <w:tcBorders>
              <w:left w:val="single" w:sz="4" w:space="0" w:color="FFFFFF" w:themeColor="background1"/>
              <w:bottom w:val="nil"/>
            </w:tcBorders>
          </w:tcPr>
          <w:p w14:paraId="0A12BB66" w14:textId="77777777" w:rsidR="0040443F" w:rsidRPr="0084778E" w:rsidRDefault="00000000" w:rsidP="00744DFA">
            <w:pPr>
              <w:pStyle w:val="NoSpacing"/>
              <w:rPr>
                <w:rFonts w:ascii="Times New Roman" w:hAnsi="Times New Roman" w:cs="Times New Roman"/>
                <w:b/>
                <w:bCs/>
                <w:sz w:val="20"/>
                <w:szCs w:val="20"/>
                <w:lang w:val="en-US" w:bidi="th-TH"/>
              </w:rPr>
            </w:pPr>
            <w:r w:rsidRPr="0084778E">
              <w:rPr>
                <w:rFonts w:ascii="Times New Roman" w:hAnsi="Times New Roman" w:cs="Times New Roman"/>
                <w:b/>
                <w:bCs/>
                <w:sz w:val="20"/>
                <w:szCs w:val="20"/>
              </w:rPr>
              <w:t>Digital Literacy (DL)</w:t>
            </w:r>
          </w:p>
        </w:tc>
        <w:tc>
          <w:tcPr>
            <w:tcW w:w="623" w:type="dxa"/>
            <w:tcBorders>
              <w:bottom w:val="nil"/>
            </w:tcBorders>
            <w:vAlign w:val="center"/>
          </w:tcPr>
          <w:p w14:paraId="0BABEC6F"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0.72</w:t>
            </w:r>
          </w:p>
        </w:tc>
        <w:tc>
          <w:tcPr>
            <w:tcW w:w="1497" w:type="dxa"/>
            <w:tcBorders>
              <w:bottom w:val="nil"/>
            </w:tcBorders>
            <w:vAlign w:val="center"/>
          </w:tcPr>
          <w:p w14:paraId="5D9A1086"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0.97(0.11)</w:t>
            </w:r>
          </w:p>
        </w:tc>
        <w:tc>
          <w:tcPr>
            <w:tcW w:w="977" w:type="dxa"/>
            <w:tcBorders>
              <w:bottom w:val="nil"/>
            </w:tcBorders>
            <w:vAlign w:val="center"/>
          </w:tcPr>
          <w:p w14:paraId="7A78D957"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8.90</w:t>
            </w:r>
            <w:r w:rsidRPr="0084778E">
              <w:rPr>
                <w:rFonts w:ascii="Times New Roman" w:hAnsi="Times New Roman" w:cs="Times New Roman"/>
                <w:sz w:val="20"/>
                <w:szCs w:val="20"/>
                <w:lang w:val="en-US" w:bidi="th-TH"/>
              </w:rPr>
              <w:t>**</w:t>
            </w:r>
          </w:p>
        </w:tc>
        <w:tc>
          <w:tcPr>
            <w:tcW w:w="994" w:type="dxa"/>
            <w:tcBorders>
              <w:bottom w:val="nil"/>
              <w:right w:val="single" w:sz="4" w:space="0" w:color="FFFFFF" w:themeColor="background1"/>
            </w:tcBorders>
            <w:vAlign w:val="center"/>
          </w:tcPr>
          <w:p w14:paraId="0936D7B1"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0.95</w:t>
            </w:r>
          </w:p>
        </w:tc>
      </w:tr>
      <w:tr w:rsidR="00FE5EC8" w14:paraId="42E825FA" w14:textId="77777777" w:rsidTr="00FF58D3">
        <w:trPr>
          <w:jc w:val="center"/>
        </w:trPr>
        <w:tc>
          <w:tcPr>
            <w:tcW w:w="4924" w:type="dxa"/>
            <w:tcBorders>
              <w:top w:val="nil"/>
              <w:left w:val="single" w:sz="4" w:space="0" w:color="FFFFFF" w:themeColor="background1"/>
              <w:bottom w:val="nil"/>
            </w:tcBorders>
          </w:tcPr>
          <w:p w14:paraId="6FB804C9"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Digital software selection and use (B1)</w:t>
            </w:r>
          </w:p>
        </w:tc>
        <w:tc>
          <w:tcPr>
            <w:tcW w:w="623" w:type="dxa"/>
            <w:tcBorders>
              <w:top w:val="nil"/>
              <w:bottom w:val="nil"/>
            </w:tcBorders>
            <w:vAlign w:val="center"/>
          </w:tcPr>
          <w:p w14:paraId="019C8A62"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6D7592B6"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0.50</w:t>
            </w:r>
          </w:p>
        </w:tc>
        <w:tc>
          <w:tcPr>
            <w:tcW w:w="977" w:type="dxa"/>
            <w:tcBorders>
              <w:top w:val="nil"/>
              <w:bottom w:val="nil"/>
            </w:tcBorders>
            <w:vAlign w:val="center"/>
          </w:tcPr>
          <w:p w14:paraId="528A4A67"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w:t>
            </w:r>
          </w:p>
        </w:tc>
        <w:tc>
          <w:tcPr>
            <w:tcW w:w="994" w:type="dxa"/>
            <w:tcBorders>
              <w:top w:val="nil"/>
              <w:bottom w:val="nil"/>
              <w:right w:val="single" w:sz="4" w:space="0" w:color="FFFFFF" w:themeColor="background1"/>
            </w:tcBorders>
            <w:vAlign w:val="center"/>
          </w:tcPr>
          <w:p w14:paraId="1E552138"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0.25 </w:t>
            </w:r>
          </w:p>
        </w:tc>
      </w:tr>
      <w:tr w:rsidR="00FE5EC8" w14:paraId="7657FE03" w14:textId="77777777" w:rsidTr="00FF58D3">
        <w:trPr>
          <w:jc w:val="center"/>
        </w:trPr>
        <w:tc>
          <w:tcPr>
            <w:tcW w:w="4924" w:type="dxa"/>
            <w:tcBorders>
              <w:top w:val="nil"/>
              <w:left w:val="single" w:sz="4" w:space="0" w:color="FFFFFF" w:themeColor="background1"/>
              <w:bottom w:val="nil"/>
            </w:tcBorders>
          </w:tcPr>
          <w:p w14:paraId="5F05D058"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Software data management (B2)</w:t>
            </w:r>
          </w:p>
        </w:tc>
        <w:tc>
          <w:tcPr>
            <w:tcW w:w="623" w:type="dxa"/>
            <w:tcBorders>
              <w:top w:val="nil"/>
              <w:bottom w:val="nil"/>
            </w:tcBorders>
            <w:vAlign w:val="center"/>
          </w:tcPr>
          <w:p w14:paraId="7D16A8B7"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69537222"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0.67</w:t>
            </w:r>
          </w:p>
        </w:tc>
        <w:tc>
          <w:tcPr>
            <w:tcW w:w="977" w:type="dxa"/>
            <w:tcBorders>
              <w:top w:val="nil"/>
              <w:bottom w:val="nil"/>
            </w:tcBorders>
            <w:vAlign w:val="center"/>
          </w:tcPr>
          <w:p w14:paraId="414E73B8"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9.17**</w:t>
            </w:r>
          </w:p>
        </w:tc>
        <w:tc>
          <w:tcPr>
            <w:tcW w:w="994" w:type="dxa"/>
            <w:tcBorders>
              <w:top w:val="nil"/>
              <w:bottom w:val="nil"/>
              <w:right w:val="single" w:sz="4" w:space="0" w:color="FFFFFF" w:themeColor="background1"/>
            </w:tcBorders>
            <w:vAlign w:val="center"/>
          </w:tcPr>
          <w:p w14:paraId="79BA2CDC"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0.45 </w:t>
            </w:r>
          </w:p>
        </w:tc>
      </w:tr>
      <w:tr w:rsidR="00FE5EC8" w14:paraId="4B1E0E09" w14:textId="77777777" w:rsidTr="00FF58D3">
        <w:trPr>
          <w:jc w:val="center"/>
        </w:trPr>
        <w:tc>
          <w:tcPr>
            <w:tcW w:w="4924" w:type="dxa"/>
            <w:tcBorders>
              <w:top w:val="nil"/>
              <w:left w:val="single" w:sz="4" w:space="0" w:color="FFFFFF" w:themeColor="background1"/>
              <w:bottom w:val="nil"/>
            </w:tcBorders>
          </w:tcPr>
          <w:p w14:paraId="28B8B04D"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Digital online technology collaboration with others (B3)</w:t>
            </w:r>
          </w:p>
        </w:tc>
        <w:tc>
          <w:tcPr>
            <w:tcW w:w="623" w:type="dxa"/>
            <w:tcBorders>
              <w:top w:val="nil"/>
              <w:bottom w:val="nil"/>
            </w:tcBorders>
            <w:vAlign w:val="center"/>
          </w:tcPr>
          <w:p w14:paraId="50505383"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34A0A4C1"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0.50</w:t>
            </w:r>
          </w:p>
        </w:tc>
        <w:tc>
          <w:tcPr>
            <w:tcW w:w="977" w:type="dxa"/>
            <w:tcBorders>
              <w:top w:val="nil"/>
              <w:bottom w:val="nil"/>
            </w:tcBorders>
            <w:vAlign w:val="center"/>
          </w:tcPr>
          <w:p w14:paraId="11DD43A0"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7.34**</w:t>
            </w:r>
          </w:p>
        </w:tc>
        <w:tc>
          <w:tcPr>
            <w:tcW w:w="994" w:type="dxa"/>
            <w:tcBorders>
              <w:top w:val="nil"/>
              <w:bottom w:val="nil"/>
              <w:right w:val="single" w:sz="4" w:space="0" w:color="FFFFFF" w:themeColor="background1"/>
            </w:tcBorders>
            <w:vAlign w:val="center"/>
          </w:tcPr>
          <w:p w14:paraId="70781DD9"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0.25</w:t>
            </w:r>
          </w:p>
        </w:tc>
      </w:tr>
      <w:tr w:rsidR="00FE5EC8" w14:paraId="2C3CFA08" w14:textId="77777777" w:rsidTr="00FF58D3">
        <w:trPr>
          <w:jc w:val="center"/>
        </w:trPr>
        <w:tc>
          <w:tcPr>
            <w:tcW w:w="4924" w:type="dxa"/>
            <w:tcBorders>
              <w:top w:val="nil"/>
              <w:left w:val="single" w:sz="4" w:space="0" w:color="FFFFFF" w:themeColor="background1"/>
              <w:bottom w:val="single" w:sz="4" w:space="0" w:color="auto"/>
            </w:tcBorders>
          </w:tcPr>
          <w:p w14:paraId="5B0D4104"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Ethical data use (B4)</w:t>
            </w:r>
          </w:p>
        </w:tc>
        <w:tc>
          <w:tcPr>
            <w:tcW w:w="623" w:type="dxa"/>
            <w:tcBorders>
              <w:top w:val="nil"/>
              <w:bottom w:val="single" w:sz="4" w:space="0" w:color="auto"/>
            </w:tcBorders>
            <w:vAlign w:val="center"/>
          </w:tcPr>
          <w:p w14:paraId="268416D0"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single" w:sz="4" w:space="0" w:color="auto"/>
            </w:tcBorders>
            <w:vAlign w:val="center"/>
          </w:tcPr>
          <w:p w14:paraId="346BF3AB"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0.73</w:t>
            </w:r>
          </w:p>
        </w:tc>
        <w:tc>
          <w:tcPr>
            <w:tcW w:w="977" w:type="dxa"/>
            <w:tcBorders>
              <w:top w:val="nil"/>
              <w:bottom w:val="single" w:sz="4" w:space="0" w:color="auto"/>
            </w:tcBorders>
            <w:vAlign w:val="center"/>
          </w:tcPr>
          <w:p w14:paraId="2C6FB340"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8.45**</w:t>
            </w:r>
          </w:p>
        </w:tc>
        <w:tc>
          <w:tcPr>
            <w:tcW w:w="994" w:type="dxa"/>
            <w:tcBorders>
              <w:top w:val="nil"/>
              <w:bottom w:val="single" w:sz="4" w:space="0" w:color="auto"/>
              <w:right w:val="single" w:sz="4" w:space="0" w:color="FFFFFF" w:themeColor="background1"/>
            </w:tcBorders>
            <w:vAlign w:val="center"/>
          </w:tcPr>
          <w:p w14:paraId="543C66B4"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0.53 </w:t>
            </w:r>
          </w:p>
        </w:tc>
      </w:tr>
      <w:tr w:rsidR="00FE5EC8" w14:paraId="204629E0" w14:textId="77777777" w:rsidTr="00FF58D3">
        <w:trPr>
          <w:trHeight w:val="38"/>
          <w:jc w:val="center"/>
        </w:trPr>
        <w:tc>
          <w:tcPr>
            <w:tcW w:w="4924" w:type="dxa"/>
            <w:tcBorders>
              <w:left w:val="single" w:sz="4" w:space="0" w:color="FFFFFF" w:themeColor="background1"/>
              <w:bottom w:val="nil"/>
            </w:tcBorders>
          </w:tcPr>
          <w:p w14:paraId="3A50DB4D" w14:textId="77777777" w:rsidR="0040443F" w:rsidRPr="0084778E" w:rsidRDefault="00000000" w:rsidP="00744DFA">
            <w:pPr>
              <w:pStyle w:val="NoSpacing"/>
              <w:rPr>
                <w:rFonts w:ascii="Times New Roman" w:hAnsi="Times New Roman" w:cs="Times New Roman"/>
                <w:sz w:val="20"/>
                <w:szCs w:val="20"/>
                <w:lang w:val="en-US" w:bidi="th-TH"/>
              </w:rPr>
            </w:pPr>
            <w:r w:rsidRPr="0084778E">
              <w:rPr>
                <w:rFonts w:ascii="Times New Roman" w:hAnsi="Times New Roman" w:cs="Times New Roman"/>
                <w:b/>
                <w:bCs/>
                <w:sz w:val="20"/>
                <w:szCs w:val="20"/>
              </w:rPr>
              <w:t>Digital Data Communication (DDC)</w:t>
            </w:r>
          </w:p>
        </w:tc>
        <w:tc>
          <w:tcPr>
            <w:tcW w:w="623" w:type="dxa"/>
            <w:tcBorders>
              <w:bottom w:val="nil"/>
            </w:tcBorders>
            <w:vAlign w:val="center"/>
          </w:tcPr>
          <w:p w14:paraId="4AF9DD02"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0.73</w:t>
            </w:r>
          </w:p>
        </w:tc>
        <w:tc>
          <w:tcPr>
            <w:tcW w:w="1497" w:type="dxa"/>
            <w:tcBorders>
              <w:bottom w:val="nil"/>
            </w:tcBorders>
            <w:vAlign w:val="center"/>
          </w:tcPr>
          <w:p w14:paraId="6EA06CDE"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1.00(0.07)</w:t>
            </w:r>
          </w:p>
        </w:tc>
        <w:tc>
          <w:tcPr>
            <w:tcW w:w="977" w:type="dxa"/>
            <w:tcBorders>
              <w:bottom w:val="nil"/>
            </w:tcBorders>
            <w:vAlign w:val="center"/>
          </w:tcPr>
          <w:p w14:paraId="1B7D6402"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14.53</w:t>
            </w:r>
            <w:r w:rsidRPr="0084778E">
              <w:rPr>
                <w:rFonts w:ascii="Times New Roman" w:hAnsi="Times New Roman" w:cs="Times New Roman"/>
                <w:sz w:val="20"/>
                <w:szCs w:val="20"/>
                <w:lang w:val="en-US" w:bidi="th-TH"/>
              </w:rPr>
              <w:t>**</w:t>
            </w:r>
          </w:p>
        </w:tc>
        <w:tc>
          <w:tcPr>
            <w:tcW w:w="994" w:type="dxa"/>
            <w:tcBorders>
              <w:bottom w:val="nil"/>
              <w:right w:val="single" w:sz="4" w:space="0" w:color="FFFFFF" w:themeColor="background1"/>
            </w:tcBorders>
            <w:vAlign w:val="center"/>
          </w:tcPr>
          <w:p w14:paraId="34724ECF" w14:textId="77777777" w:rsidR="0040443F" w:rsidRPr="0084778E" w:rsidRDefault="00000000" w:rsidP="00744DFA">
            <w:pPr>
              <w:pStyle w:val="NoSpacing"/>
              <w:jc w:val="center"/>
              <w:rPr>
                <w:rFonts w:ascii="Times New Roman" w:hAnsi="Times New Roman" w:cs="Times New Roman"/>
                <w:b/>
                <w:bCs/>
                <w:sz w:val="20"/>
                <w:szCs w:val="20"/>
                <w:lang w:val="en-US" w:bidi="th-TH"/>
              </w:rPr>
            </w:pPr>
            <w:r w:rsidRPr="0084778E">
              <w:rPr>
                <w:rFonts w:ascii="Times New Roman" w:hAnsi="Times New Roman" w:cs="Times New Roman"/>
                <w:b/>
                <w:bCs/>
                <w:sz w:val="20"/>
                <w:szCs w:val="20"/>
                <w:lang w:val="en-US" w:bidi="th-TH"/>
              </w:rPr>
              <w:t>1.00</w:t>
            </w:r>
          </w:p>
        </w:tc>
      </w:tr>
      <w:tr w:rsidR="00FE5EC8" w14:paraId="40E47F49" w14:textId="77777777" w:rsidTr="00FF58D3">
        <w:trPr>
          <w:jc w:val="center"/>
        </w:trPr>
        <w:tc>
          <w:tcPr>
            <w:tcW w:w="4924" w:type="dxa"/>
            <w:tcBorders>
              <w:top w:val="nil"/>
              <w:left w:val="single" w:sz="4" w:space="0" w:color="FFFFFF" w:themeColor="background1"/>
              <w:bottom w:val="nil"/>
            </w:tcBorders>
          </w:tcPr>
          <w:p w14:paraId="3EC14593"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Synthesize new data (C1)</w:t>
            </w:r>
          </w:p>
        </w:tc>
        <w:tc>
          <w:tcPr>
            <w:tcW w:w="623" w:type="dxa"/>
            <w:tcBorders>
              <w:top w:val="nil"/>
              <w:bottom w:val="nil"/>
            </w:tcBorders>
            <w:vAlign w:val="center"/>
          </w:tcPr>
          <w:p w14:paraId="1796F205"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14CF6696"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0.71</w:t>
            </w:r>
          </w:p>
        </w:tc>
        <w:tc>
          <w:tcPr>
            <w:tcW w:w="977" w:type="dxa"/>
            <w:tcBorders>
              <w:top w:val="nil"/>
              <w:bottom w:val="nil"/>
            </w:tcBorders>
            <w:vAlign w:val="center"/>
          </w:tcPr>
          <w:p w14:paraId="739F47E1"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w:t>
            </w:r>
          </w:p>
        </w:tc>
        <w:tc>
          <w:tcPr>
            <w:tcW w:w="994" w:type="dxa"/>
            <w:tcBorders>
              <w:top w:val="nil"/>
              <w:bottom w:val="nil"/>
              <w:right w:val="single" w:sz="4" w:space="0" w:color="FFFFFF" w:themeColor="background1"/>
            </w:tcBorders>
            <w:vAlign w:val="center"/>
          </w:tcPr>
          <w:p w14:paraId="40957634"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0.51 </w:t>
            </w:r>
          </w:p>
        </w:tc>
      </w:tr>
      <w:tr w:rsidR="00FE5EC8" w14:paraId="7DC83566" w14:textId="77777777" w:rsidTr="00FF58D3">
        <w:trPr>
          <w:jc w:val="center"/>
        </w:trPr>
        <w:tc>
          <w:tcPr>
            <w:tcW w:w="4924" w:type="dxa"/>
            <w:tcBorders>
              <w:top w:val="nil"/>
              <w:left w:val="single" w:sz="4" w:space="0" w:color="FFFFFF" w:themeColor="background1"/>
              <w:bottom w:val="nil"/>
            </w:tcBorders>
          </w:tcPr>
          <w:p w14:paraId="18F3D78F"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Create digital information (C2)</w:t>
            </w:r>
          </w:p>
        </w:tc>
        <w:tc>
          <w:tcPr>
            <w:tcW w:w="623" w:type="dxa"/>
            <w:tcBorders>
              <w:top w:val="nil"/>
              <w:bottom w:val="nil"/>
            </w:tcBorders>
            <w:vAlign w:val="center"/>
          </w:tcPr>
          <w:p w14:paraId="5DA139BA"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0D3077EE"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0.65</w:t>
            </w:r>
          </w:p>
        </w:tc>
        <w:tc>
          <w:tcPr>
            <w:tcW w:w="977" w:type="dxa"/>
            <w:tcBorders>
              <w:top w:val="nil"/>
              <w:bottom w:val="nil"/>
            </w:tcBorders>
            <w:vAlign w:val="center"/>
          </w:tcPr>
          <w:p w14:paraId="17759365"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13.20**</w:t>
            </w:r>
          </w:p>
        </w:tc>
        <w:tc>
          <w:tcPr>
            <w:tcW w:w="994" w:type="dxa"/>
            <w:tcBorders>
              <w:top w:val="nil"/>
              <w:bottom w:val="nil"/>
              <w:right w:val="single" w:sz="4" w:space="0" w:color="FFFFFF" w:themeColor="background1"/>
            </w:tcBorders>
            <w:vAlign w:val="center"/>
          </w:tcPr>
          <w:p w14:paraId="14A44A6F"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0.42 </w:t>
            </w:r>
          </w:p>
        </w:tc>
      </w:tr>
      <w:tr w:rsidR="00FE5EC8" w14:paraId="25E1B510" w14:textId="77777777" w:rsidTr="00FF58D3">
        <w:trPr>
          <w:jc w:val="center"/>
        </w:trPr>
        <w:tc>
          <w:tcPr>
            <w:tcW w:w="4924" w:type="dxa"/>
            <w:tcBorders>
              <w:top w:val="nil"/>
              <w:left w:val="single" w:sz="4" w:space="0" w:color="FFFFFF" w:themeColor="background1"/>
              <w:bottom w:val="nil"/>
            </w:tcBorders>
          </w:tcPr>
          <w:p w14:paraId="04B58949"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Apply data (C3)</w:t>
            </w:r>
          </w:p>
        </w:tc>
        <w:tc>
          <w:tcPr>
            <w:tcW w:w="623" w:type="dxa"/>
            <w:tcBorders>
              <w:top w:val="nil"/>
              <w:bottom w:val="nil"/>
            </w:tcBorders>
            <w:vAlign w:val="center"/>
          </w:tcPr>
          <w:p w14:paraId="4360797B"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bottom w:val="nil"/>
            </w:tcBorders>
            <w:vAlign w:val="center"/>
          </w:tcPr>
          <w:p w14:paraId="672133DB"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0.63</w:t>
            </w:r>
          </w:p>
        </w:tc>
        <w:tc>
          <w:tcPr>
            <w:tcW w:w="977" w:type="dxa"/>
            <w:tcBorders>
              <w:top w:val="nil"/>
              <w:bottom w:val="nil"/>
            </w:tcBorders>
            <w:vAlign w:val="center"/>
          </w:tcPr>
          <w:p w14:paraId="7FCF4008"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10.78**</w:t>
            </w:r>
          </w:p>
        </w:tc>
        <w:tc>
          <w:tcPr>
            <w:tcW w:w="994" w:type="dxa"/>
            <w:tcBorders>
              <w:top w:val="nil"/>
              <w:bottom w:val="nil"/>
              <w:right w:val="single" w:sz="4" w:space="0" w:color="FFFFFF" w:themeColor="background1"/>
            </w:tcBorders>
            <w:vAlign w:val="center"/>
          </w:tcPr>
          <w:p w14:paraId="4CD86D30"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0.39 </w:t>
            </w:r>
          </w:p>
        </w:tc>
      </w:tr>
      <w:tr w:rsidR="00FE5EC8" w14:paraId="5363C5B9" w14:textId="77777777" w:rsidTr="00FF58D3">
        <w:trPr>
          <w:jc w:val="center"/>
        </w:trPr>
        <w:tc>
          <w:tcPr>
            <w:tcW w:w="4924" w:type="dxa"/>
            <w:tcBorders>
              <w:top w:val="nil"/>
              <w:left w:val="single" w:sz="4" w:space="0" w:color="FFFFFF" w:themeColor="background1"/>
            </w:tcBorders>
          </w:tcPr>
          <w:p w14:paraId="5EEBEC7F" w14:textId="77777777" w:rsidR="0040443F" w:rsidRPr="0084778E" w:rsidRDefault="00000000" w:rsidP="00744DFA">
            <w:pPr>
              <w:pStyle w:val="NoSpacing"/>
              <w:rPr>
                <w:rFonts w:ascii="Times New Roman" w:hAnsi="Times New Roman" w:cs="Times New Roman"/>
                <w:sz w:val="20"/>
                <w:szCs w:val="20"/>
              </w:rPr>
            </w:pPr>
            <w:r w:rsidRPr="0084778E">
              <w:rPr>
                <w:rFonts w:ascii="Times New Roman" w:hAnsi="Times New Roman" w:cs="Times New Roman"/>
                <w:sz w:val="20"/>
                <w:szCs w:val="20"/>
              </w:rPr>
              <w:t>Disseminating information using digital technology (C4)</w:t>
            </w:r>
          </w:p>
        </w:tc>
        <w:tc>
          <w:tcPr>
            <w:tcW w:w="623" w:type="dxa"/>
            <w:tcBorders>
              <w:top w:val="nil"/>
            </w:tcBorders>
            <w:vAlign w:val="center"/>
          </w:tcPr>
          <w:p w14:paraId="1BDC9B22" w14:textId="77777777" w:rsidR="0040443F" w:rsidRPr="0084778E" w:rsidRDefault="0040443F" w:rsidP="00744DFA">
            <w:pPr>
              <w:pStyle w:val="NoSpacing"/>
              <w:jc w:val="center"/>
              <w:rPr>
                <w:rFonts w:ascii="Times New Roman" w:hAnsi="Times New Roman" w:cs="Times New Roman"/>
                <w:sz w:val="20"/>
                <w:szCs w:val="20"/>
                <w:lang w:val="en-US" w:bidi="th-TH"/>
              </w:rPr>
            </w:pPr>
          </w:p>
        </w:tc>
        <w:tc>
          <w:tcPr>
            <w:tcW w:w="1497" w:type="dxa"/>
            <w:tcBorders>
              <w:top w:val="nil"/>
            </w:tcBorders>
            <w:vAlign w:val="center"/>
          </w:tcPr>
          <w:p w14:paraId="79381667"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0.51</w:t>
            </w:r>
          </w:p>
        </w:tc>
        <w:tc>
          <w:tcPr>
            <w:tcW w:w="977" w:type="dxa"/>
            <w:tcBorders>
              <w:top w:val="nil"/>
            </w:tcBorders>
            <w:vAlign w:val="center"/>
          </w:tcPr>
          <w:p w14:paraId="77C07051"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8.83**</w:t>
            </w:r>
          </w:p>
        </w:tc>
        <w:tc>
          <w:tcPr>
            <w:tcW w:w="994" w:type="dxa"/>
            <w:tcBorders>
              <w:top w:val="nil"/>
              <w:right w:val="single" w:sz="4" w:space="0" w:color="FFFFFF" w:themeColor="background1"/>
            </w:tcBorders>
            <w:vAlign w:val="center"/>
          </w:tcPr>
          <w:p w14:paraId="2CA1B9DB" w14:textId="77777777" w:rsidR="0040443F" w:rsidRPr="0084778E" w:rsidRDefault="00000000" w:rsidP="00744DFA">
            <w:pPr>
              <w:pStyle w:val="NoSpacing"/>
              <w:jc w:val="center"/>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0.26</w:t>
            </w:r>
          </w:p>
        </w:tc>
      </w:tr>
    </w:tbl>
    <w:p w14:paraId="048348A6" w14:textId="693A3DC5" w:rsidR="00F2024F" w:rsidRDefault="00FF58D3" w:rsidP="00FF58D3">
      <w:pPr>
        <w:widowControl w:val="0"/>
        <w:spacing w:line="360" w:lineRule="auto"/>
        <w:jc w:val="center"/>
        <w:rPr>
          <w:rFonts w:cs="Times New Roman"/>
          <w:szCs w:val="20"/>
          <w:vertAlign w:val="superscript"/>
          <w:lang w:bidi="th-TH"/>
        </w:rPr>
      </w:pPr>
      <w:r>
        <w:rPr>
          <w:lang w:val="en-MY"/>
        </w:rPr>
        <w:t xml:space="preserve">Note. </w:t>
      </w:r>
      <w:r w:rsidRPr="00ED4C2C">
        <w:rPr>
          <w:rFonts w:cs="Times New Roman"/>
          <w:szCs w:val="20"/>
        </w:rPr>
        <w:t>β</w:t>
      </w:r>
      <w:r>
        <w:t xml:space="preserve"> = standardized regression coefficient, </w:t>
      </w:r>
      <w:r w:rsidRPr="00ED4C2C">
        <w:rPr>
          <w:rFonts w:cs="Times New Roman"/>
          <w:szCs w:val="20"/>
        </w:rPr>
        <w:t>SE</w:t>
      </w:r>
      <w:r>
        <w:rPr>
          <w:rFonts w:cs="Times New Roman"/>
          <w:szCs w:val="20"/>
        </w:rPr>
        <w:t xml:space="preserve"> = </w:t>
      </w:r>
      <w:r>
        <w:t>standard error</w:t>
      </w:r>
      <w:r w:rsidR="00F2024F">
        <w:t xml:space="preserve">, </w:t>
      </w:r>
      <w:r w:rsidR="00F2024F" w:rsidRPr="0084778E">
        <w:rPr>
          <w:rFonts w:cs="Times New Roman"/>
          <w:szCs w:val="20"/>
          <w:lang w:bidi="th-TH"/>
        </w:rPr>
        <w:t xml:space="preserve">'t' </w:t>
      </w:r>
      <w:r w:rsidR="00F2024F">
        <w:rPr>
          <w:rFonts w:cs="Times New Roman"/>
          <w:szCs w:val="20"/>
          <w:lang w:bidi="th-TH"/>
        </w:rPr>
        <w:t xml:space="preserve">= </w:t>
      </w:r>
      <w:r w:rsidR="00F2024F" w:rsidRPr="0084778E">
        <w:rPr>
          <w:rFonts w:cs="Times New Roman"/>
          <w:szCs w:val="20"/>
          <w:lang w:bidi="th-TH"/>
        </w:rPr>
        <w:t>t-value</w:t>
      </w:r>
      <w:r w:rsidR="00F2024F">
        <w:rPr>
          <w:rFonts w:cs="Times New Roman"/>
          <w:szCs w:val="20"/>
          <w:lang w:bidi="th-TH"/>
        </w:rPr>
        <w:t xml:space="preserve">, </w:t>
      </w:r>
      <w:r w:rsidR="00F2024F" w:rsidRPr="00FF58D3">
        <w:rPr>
          <w:rFonts w:cs="Times New Roman"/>
          <w:szCs w:val="20"/>
        </w:rPr>
        <w:t>coefficient of determination</w:t>
      </w:r>
      <w:r w:rsidR="00F2024F" w:rsidRPr="0084778E">
        <w:rPr>
          <w:rFonts w:cs="Times New Roman"/>
          <w:szCs w:val="20"/>
          <w:lang w:bidi="th-TH"/>
        </w:rPr>
        <w:t xml:space="preserve"> </w:t>
      </w:r>
      <w:r w:rsidR="00F2024F">
        <w:rPr>
          <w:rFonts w:cs="Times New Roman"/>
          <w:szCs w:val="20"/>
          <w:lang w:bidi="th-TH"/>
        </w:rPr>
        <w:t xml:space="preserve">= </w:t>
      </w:r>
      <w:r w:rsidR="00F2024F" w:rsidRPr="0084778E">
        <w:rPr>
          <w:rFonts w:cs="Times New Roman"/>
          <w:szCs w:val="20"/>
          <w:lang w:bidi="th-TH"/>
        </w:rPr>
        <w:t>R</w:t>
      </w:r>
      <w:r w:rsidR="00F2024F" w:rsidRPr="0084778E">
        <w:rPr>
          <w:rFonts w:cs="Times New Roman"/>
          <w:szCs w:val="20"/>
          <w:vertAlign w:val="superscript"/>
          <w:lang w:bidi="th-TH"/>
        </w:rPr>
        <w:t>2</w:t>
      </w:r>
    </w:p>
    <w:p w14:paraId="35A528C4" w14:textId="77777777" w:rsidR="0040443F" w:rsidRPr="0084778E" w:rsidRDefault="0040443F" w:rsidP="00304C08">
      <w:pPr>
        <w:pStyle w:val="NoSpacing"/>
        <w:spacing w:line="360" w:lineRule="auto"/>
        <w:jc w:val="center"/>
        <w:rPr>
          <w:rFonts w:ascii="Times New Roman" w:hAnsi="Times New Roman" w:cs="Times New Roman"/>
          <w:i/>
          <w:iCs/>
          <w:sz w:val="20"/>
          <w:szCs w:val="20"/>
          <w:lang w:bidi="th-TH"/>
        </w:rPr>
      </w:pPr>
    </w:p>
    <w:p w14:paraId="1C19C9E3" w14:textId="77777777" w:rsidR="0040443F" w:rsidRPr="0084778E" w:rsidRDefault="00000000" w:rsidP="0040443F">
      <w:pPr>
        <w:pStyle w:val="NoSpacing"/>
        <w:spacing w:line="360" w:lineRule="auto"/>
        <w:jc w:val="thaiDistribute"/>
        <w:rPr>
          <w:rFonts w:ascii="Times New Roman" w:hAnsi="Times New Roman" w:cs="Times New Roman"/>
          <w:b/>
          <w:bCs/>
          <w:sz w:val="24"/>
          <w:szCs w:val="24"/>
          <w:lang w:val="en-US" w:bidi="th-TH"/>
        </w:rPr>
      </w:pPr>
      <w:r w:rsidRPr="0084778E">
        <w:rPr>
          <w:rFonts w:ascii="Times New Roman" w:hAnsi="Times New Roman" w:cs="Times New Roman"/>
          <w:b/>
          <w:bCs/>
          <w:sz w:val="24"/>
          <w:szCs w:val="24"/>
          <w:lang w:val="en-US" w:bidi="th-TH"/>
        </w:rPr>
        <w:t xml:space="preserve">Conclusion </w:t>
      </w:r>
    </w:p>
    <w:p w14:paraId="2462C569" w14:textId="77777777" w:rsidR="0040443F" w:rsidRPr="0084778E" w:rsidRDefault="0040443F" w:rsidP="0040443F">
      <w:pPr>
        <w:pStyle w:val="NoSpacing"/>
        <w:spacing w:line="360" w:lineRule="auto"/>
        <w:ind w:firstLine="720"/>
        <w:jc w:val="thaiDistribute"/>
        <w:rPr>
          <w:rFonts w:ascii="Times New Roman" w:hAnsi="Times New Roman" w:cs="Times New Roman"/>
          <w:sz w:val="20"/>
          <w:szCs w:val="20"/>
          <w:lang w:val="en-US" w:bidi="th-TH"/>
        </w:rPr>
      </w:pPr>
    </w:p>
    <w:p w14:paraId="7C3C0C9B" w14:textId="77777777" w:rsidR="0040443F" w:rsidRPr="0084778E" w:rsidRDefault="00000000" w:rsidP="0040443F">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In summary, the components of digital information fluency skills among high school students were comprehensively analyzed. These skills consist of three main components with a total of 11 indicators. Among these components, the highest-weighted component was digital data communication (DDC), with a weight of 1.05. This indicates the crucial role of effective communication of digital information in today's information-rich environment. </w:t>
      </w:r>
    </w:p>
    <w:p w14:paraId="26BC90BE" w14:textId="77777777" w:rsidR="0040443F" w:rsidRPr="0084778E" w:rsidRDefault="0040443F" w:rsidP="0040443F">
      <w:pPr>
        <w:pStyle w:val="NoSpacing"/>
        <w:spacing w:line="360" w:lineRule="auto"/>
        <w:ind w:firstLine="720"/>
        <w:jc w:val="thaiDistribute"/>
        <w:rPr>
          <w:rFonts w:ascii="Times New Roman" w:hAnsi="Times New Roman" w:cs="Times New Roman"/>
          <w:sz w:val="20"/>
          <w:szCs w:val="20"/>
          <w:lang w:val="en-US" w:bidi="th-TH"/>
        </w:rPr>
      </w:pPr>
    </w:p>
    <w:p w14:paraId="2B099B5F" w14:textId="77777777" w:rsidR="0040443F" w:rsidRPr="0084778E" w:rsidRDefault="00000000" w:rsidP="0040443F">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Following closely is digital literacy (DL), with a weight of 0.97, emphasizing the importance of understanding digital tools and technologies for information consumption and creation. Additionally, digital data management (DDM), with a weight of 0.91, underscores the significance of efficiently organizing and managing digital information.</w:t>
      </w:r>
    </w:p>
    <w:p w14:paraId="2A9A56E4" w14:textId="77777777" w:rsidR="0040443F" w:rsidRPr="0084778E" w:rsidRDefault="0040443F" w:rsidP="0040443F">
      <w:pPr>
        <w:pStyle w:val="NoSpacing"/>
        <w:spacing w:line="360" w:lineRule="auto"/>
        <w:ind w:firstLine="720"/>
        <w:jc w:val="thaiDistribute"/>
        <w:rPr>
          <w:rFonts w:ascii="Times New Roman" w:hAnsi="Times New Roman" w:cs="Times New Roman"/>
          <w:sz w:val="20"/>
          <w:szCs w:val="20"/>
          <w:lang w:val="en-US" w:bidi="th-TH"/>
        </w:rPr>
      </w:pPr>
    </w:p>
    <w:p w14:paraId="7E043853" w14:textId="77777777" w:rsidR="0040443F" w:rsidRPr="0084778E" w:rsidRDefault="00000000" w:rsidP="0040443F">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These findings align with previous research by Lorenzo </w:t>
      </w:r>
      <w:r w:rsidR="000E5449" w:rsidRPr="0084778E">
        <w:rPr>
          <w:rFonts w:ascii="Times New Roman" w:hAnsi="Times New Roman" w:cs="Times New Roman"/>
          <w:sz w:val="20"/>
          <w:szCs w:val="20"/>
          <w:lang w:val="en-US" w:bidi="th-TH"/>
        </w:rPr>
        <w:t>and</w:t>
      </w:r>
      <w:r w:rsidRPr="0084778E">
        <w:rPr>
          <w:rFonts w:ascii="Times New Roman" w:hAnsi="Times New Roman" w:cs="Times New Roman"/>
          <w:sz w:val="20"/>
          <w:szCs w:val="20"/>
          <w:lang w:val="en-US" w:bidi="th-TH"/>
        </w:rPr>
        <w:t xml:space="preserve"> Dziuban (2006), who emphasized the importance of information fluency in navigating today's information environment. Similarly, Al Ameen (2019) highlighted the need for advanced digital skills in a communication-driven world, supporting the significance of digital information communication. Moreover, Lombard (2016) emphasized collaboration in achieving information fluency, indicating the importance of effective communication in digital environments.</w:t>
      </w:r>
    </w:p>
    <w:p w14:paraId="02F1BDA5" w14:textId="77777777" w:rsidR="0040443F" w:rsidRPr="0084778E" w:rsidRDefault="0040443F" w:rsidP="0040443F">
      <w:pPr>
        <w:pStyle w:val="NoSpacing"/>
        <w:spacing w:line="360" w:lineRule="auto"/>
        <w:ind w:firstLine="720"/>
        <w:jc w:val="thaiDistribute"/>
        <w:rPr>
          <w:rFonts w:ascii="Times New Roman" w:hAnsi="Times New Roman" w:cs="Times New Roman"/>
          <w:sz w:val="20"/>
          <w:szCs w:val="20"/>
          <w:lang w:val="en-US" w:bidi="th-TH"/>
        </w:rPr>
      </w:pPr>
    </w:p>
    <w:p w14:paraId="0F050F3A" w14:textId="77777777" w:rsidR="0040443F" w:rsidRPr="0084778E" w:rsidRDefault="00000000" w:rsidP="0040443F">
      <w:pPr>
        <w:pStyle w:val="NoSpacing"/>
        <w:spacing w:line="360" w:lineRule="auto"/>
        <w:jc w:val="thaiDistribute"/>
        <w:rPr>
          <w:rFonts w:ascii="Times New Roman" w:hAnsi="Times New Roman" w:cs="Times New Roman"/>
          <w:sz w:val="20"/>
          <w:szCs w:val="20"/>
          <w:lang w:val="en-US" w:bidi="th-TH"/>
        </w:rPr>
      </w:pPr>
      <w:r w:rsidRPr="0084778E">
        <w:rPr>
          <w:rFonts w:ascii="Times New Roman" w:hAnsi="Times New Roman" w:cs="Times New Roman"/>
          <w:sz w:val="20"/>
          <w:szCs w:val="20"/>
          <w:lang w:val="en-US" w:bidi="th-TH"/>
        </w:rPr>
        <w:t xml:space="preserve">Furthermore, the reliability of the component model was confirmed, with construct validity falling within acceptable ranges. This suggests that the components identified in this study can serve as a foundation for further research and educational interventions. </w:t>
      </w:r>
    </w:p>
    <w:p w14:paraId="5025E4F6" w14:textId="77777777" w:rsidR="0040443F" w:rsidRPr="0084778E" w:rsidRDefault="0040443F" w:rsidP="0040443F">
      <w:pPr>
        <w:pStyle w:val="NoSpacing"/>
        <w:spacing w:line="360" w:lineRule="auto"/>
        <w:ind w:firstLine="720"/>
        <w:jc w:val="thaiDistribute"/>
        <w:rPr>
          <w:rFonts w:ascii="Times New Roman" w:hAnsi="Times New Roman" w:cs="Times New Roman"/>
          <w:sz w:val="20"/>
          <w:szCs w:val="20"/>
          <w:lang w:val="en-US" w:bidi="th-TH"/>
        </w:rPr>
      </w:pPr>
    </w:p>
    <w:p w14:paraId="58CD8762" w14:textId="77777777" w:rsidR="0040443F" w:rsidRPr="0084778E" w:rsidRDefault="00000000" w:rsidP="0040443F">
      <w:pPr>
        <w:pStyle w:val="NoSpacing"/>
        <w:spacing w:line="360" w:lineRule="auto"/>
        <w:jc w:val="thaiDistribute"/>
        <w:rPr>
          <w:rFonts w:ascii="Times New Roman" w:hAnsi="Times New Roman" w:cs="Times New Roman"/>
          <w:b/>
          <w:bCs/>
          <w:sz w:val="24"/>
          <w:szCs w:val="24"/>
          <w:lang w:val="en-US" w:bidi="th-TH"/>
        </w:rPr>
      </w:pPr>
      <w:r w:rsidRPr="0084778E">
        <w:rPr>
          <w:rFonts w:ascii="Times New Roman" w:hAnsi="Times New Roman" w:cs="Times New Roman"/>
          <w:b/>
          <w:bCs/>
          <w:sz w:val="24"/>
          <w:szCs w:val="24"/>
          <w:lang w:val="en-US" w:bidi="th-TH"/>
        </w:rPr>
        <w:t>Recommendations</w:t>
      </w:r>
    </w:p>
    <w:p w14:paraId="5FCFA885" w14:textId="77777777" w:rsidR="0040443F" w:rsidRPr="0084778E" w:rsidRDefault="0040443F" w:rsidP="0040443F">
      <w:pPr>
        <w:pStyle w:val="NoSpacing"/>
        <w:spacing w:line="360" w:lineRule="auto"/>
        <w:jc w:val="both"/>
        <w:rPr>
          <w:rFonts w:ascii="Times New Roman" w:hAnsi="Times New Roman" w:cs="Times New Roman"/>
          <w:sz w:val="20"/>
          <w:szCs w:val="20"/>
          <w:lang w:bidi="th-TH"/>
        </w:rPr>
      </w:pPr>
    </w:p>
    <w:p w14:paraId="3C80E210" w14:textId="77777777" w:rsidR="0040443F" w:rsidRPr="0084778E" w:rsidRDefault="00000000" w:rsidP="0040443F">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Based on these findings, it is recommended that the Basic Education Commission prioritize the integration of digital information fluency skills into the curriculum. This should include planning and providing resources for enhancing students' skills in digital information communication, literacy, and management.</w:t>
      </w:r>
    </w:p>
    <w:p w14:paraId="376D614C" w14:textId="77777777" w:rsidR="0040443F" w:rsidRPr="0084778E" w:rsidRDefault="0040443F" w:rsidP="0040443F">
      <w:pPr>
        <w:pStyle w:val="NoSpacing"/>
        <w:spacing w:line="360" w:lineRule="auto"/>
        <w:jc w:val="both"/>
        <w:rPr>
          <w:rFonts w:ascii="Times New Roman" w:hAnsi="Times New Roman" w:cs="Times New Roman"/>
          <w:sz w:val="20"/>
          <w:szCs w:val="20"/>
          <w:lang w:bidi="th-TH"/>
        </w:rPr>
      </w:pPr>
    </w:p>
    <w:p w14:paraId="7A3A6025" w14:textId="77777777" w:rsidR="0040443F" w:rsidRPr="0084778E" w:rsidRDefault="00000000" w:rsidP="0040443F">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Educational institutions should also develop learning management plans and digital learning resources to facilitate the acquisition of these skills. Additionally, teachers should incorporate activities that promote digital information fluency skills into their subject-specific lessons, enabling students to apply these skills across disciplines.</w:t>
      </w:r>
    </w:p>
    <w:p w14:paraId="2C876CD8" w14:textId="77777777" w:rsidR="0040443F" w:rsidRPr="0084778E" w:rsidRDefault="0040443F" w:rsidP="0040443F">
      <w:pPr>
        <w:pStyle w:val="NoSpacing"/>
        <w:spacing w:line="360" w:lineRule="auto"/>
        <w:jc w:val="both"/>
        <w:rPr>
          <w:rFonts w:ascii="Times New Roman" w:hAnsi="Times New Roman" w:cs="Times New Roman"/>
          <w:sz w:val="20"/>
          <w:szCs w:val="20"/>
          <w:lang w:bidi="th-TH"/>
        </w:rPr>
      </w:pPr>
    </w:p>
    <w:p w14:paraId="6267689E" w14:textId="77777777" w:rsidR="0040443F" w:rsidRDefault="00000000" w:rsidP="0040443F">
      <w:pPr>
        <w:pStyle w:val="NoSpacing"/>
        <w:spacing w:line="360" w:lineRule="auto"/>
        <w:jc w:val="both"/>
        <w:rPr>
          <w:rFonts w:ascii="Times New Roman" w:hAnsi="Times New Roman" w:cs="Times New Roman"/>
          <w:sz w:val="20"/>
          <w:szCs w:val="20"/>
          <w:lang w:bidi="th-TH"/>
        </w:rPr>
      </w:pPr>
      <w:r w:rsidRPr="0084778E">
        <w:rPr>
          <w:rFonts w:ascii="Times New Roman" w:hAnsi="Times New Roman" w:cs="Times New Roman"/>
          <w:sz w:val="20"/>
          <w:szCs w:val="20"/>
          <w:lang w:bidi="th-TH"/>
        </w:rPr>
        <w:t>By prioritizing the development of digital information fluency skills, students will be better equipped to navigate the ever-changing information landscape and apply their knowledge effectively in various contexts. This will ultimately contribute to the cultivation of a digitally literate and competent workforce, essential for driving quality digital societal development in the future.</w:t>
      </w:r>
    </w:p>
    <w:p w14:paraId="0DD80842" w14:textId="77777777" w:rsidR="008D4FAD" w:rsidRDefault="008D4FAD" w:rsidP="0040443F">
      <w:pPr>
        <w:pStyle w:val="NoSpacing"/>
        <w:spacing w:line="360" w:lineRule="auto"/>
        <w:jc w:val="both"/>
        <w:rPr>
          <w:rFonts w:ascii="Times New Roman" w:hAnsi="Times New Roman" w:cs="Times New Roman"/>
          <w:sz w:val="20"/>
          <w:szCs w:val="20"/>
          <w:lang w:bidi="th-TH"/>
        </w:rPr>
      </w:pPr>
    </w:p>
    <w:p w14:paraId="18F5AAF6" w14:textId="77777777" w:rsidR="0040443F" w:rsidRPr="0084778E" w:rsidRDefault="00000000" w:rsidP="0040443F">
      <w:pPr>
        <w:pStyle w:val="NoSpacing"/>
        <w:spacing w:line="360" w:lineRule="auto"/>
        <w:rPr>
          <w:rFonts w:ascii="Times New Roman" w:hAnsi="Times New Roman" w:cs="Times New Roman"/>
          <w:b/>
          <w:bCs/>
          <w:sz w:val="24"/>
          <w:szCs w:val="24"/>
        </w:rPr>
      </w:pPr>
      <w:r w:rsidRPr="0084778E">
        <w:rPr>
          <w:rFonts w:ascii="Times New Roman" w:hAnsi="Times New Roman" w:cs="Times New Roman"/>
          <w:b/>
          <w:bCs/>
          <w:sz w:val="24"/>
          <w:szCs w:val="24"/>
        </w:rPr>
        <w:t>Acknowledgment</w:t>
      </w:r>
      <w:r w:rsidR="00E82207" w:rsidRPr="0084778E">
        <w:rPr>
          <w:rFonts w:ascii="Times New Roman" w:hAnsi="Times New Roman" w:cs="Times New Roman"/>
          <w:b/>
          <w:bCs/>
          <w:sz w:val="24"/>
          <w:szCs w:val="24"/>
        </w:rPr>
        <w:t>s</w:t>
      </w:r>
    </w:p>
    <w:p w14:paraId="23AC5983" w14:textId="21FA12D3" w:rsidR="0040443F" w:rsidRPr="0084778E" w:rsidRDefault="00000000" w:rsidP="006279C4">
      <w:pPr>
        <w:pStyle w:val="NoSpacing"/>
        <w:spacing w:line="360" w:lineRule="auto"/>
        <w:jc w:val="thaiDistribute"/>
        <w:rPr>
          <w:rFonts w:ascii="Times New Roman" w:hAnsi="Times New Roman" w:cs="Times New Roman"/>
          <w:sz w:val="20"/>
          <w:szCs w:val="20"/>
          <w:lang w:val="en-US"/>
        </w:rPr>
      </w:pPr>
      <w:r w:rsidRPr="0084778E">
        <w:rPr>
          <w:rFonts w:ascii="Times New Roman" w:hAnsi="Times New Roman" w:cs="Times New Roman"/>
          <w:sz w:val="20"/>
          <w:szCs w:val="20"/>
          <w:lang w:bidi="th-TH"/>
        </w:rPr>
        <w:t>The authors would like to thank Thailand’s Institute for the Promotion of Teaching Science and Technology (IPST) for providing funding for this study and research</w:t>
      </w:r>
      <w:r w:rsidR="008D4FAD">
        <w:rPr>
          <w:rFonts w:ascii="Times New Roman" w:hAnsi="Times New Roman" w:cs="Times New Roman"/>
          <w:sz w:val="20"/>
          <w:szCs w:val="20"/>
          <w:lang w:bidi="th-TH"/>
        </w:rPr>
        <w:t xml:space="preserve">. </w:t>
      </w:r>
      <w:r w:rsidRPr="0084778E">
        <w:rPr>
          <w:rFonts w:ascii="Times New Roman" w:hAnsi="Times New Roman" w:cs="Times New Roman"/>
          <w:sz w:val="20"/>
          <w:szCs w:val="20"/>
          <w:lang w:bidi="th-TH"/>
        </w:rPr>
        <w:t>The authors thank Ajarn Charlie for his support and the English language editing of the multiple manuscripts.</w:t>
      </w:r>
    </w:p>
    <w:bookmarkEnd w:id="2"/>
    <w:bookmarkEnd w:id="3"/>
    <w:p w14:paraId="25F2CEA2" w14:textId="77777777" w:rsidR="00176378" w:rsidRPr="0084778E" w:rsidRDefault="00176378" w:rsidP="00D6757F">
      <w:pPr>
        <w:widowControl w:val="0"/>
        <w:spacing w:line="360" w:lineRule="auto"/>
      </w:pPr>
    </w:p>
    <w:p w14:paraId="6EEDE0BC" w14:textId="77777777" w:rsidR="0061751E" w:rsidRPr="0084778E" w:rsidRDefault="00000000" w:rsidP="00D6757F">
      <w:pPr>
        <w:widowControl w:val="0"/>
        <w:spacing w:line="360" w:lineRule="auto"/>
        <w:rPr>
          <w:b/>
        </w:rPr>
      </w:pPr>
      <w:r w:rsidRPr="0084778E">
        <w:rPr>
          <w:b/>
          <w:sz w:val="24"/>
        </w:rPr>
        <w:t>References</w:t>
      </w:r>
    </w:p>
    <w:p w14:paraId="36D37BDE" w14:textId="77777777" w:rsidR="001B095D" w:rsidRPr="0084778E" w:rsidRDefault="00000000" w:rsidP="001B095D">
      <w:pPr>
        <w:widowControl w:val="0"/>
        <w:spacing w:line="360" w:lineRule="auto"/>
        <w:ind w:left="720" w:hanging="720"/>
        <w:rPr>
          <w:rFonts w:cs="Times New Roman"/>
          <w:szCs w:val="20"/>
        </w:rPr>
      </w:pPr>
      <w:bookmarkStart w:id="4" w:name="_Hlk159750598"/>
      <w:r w:rsidRPr="0084778E">
        <w:rPr>
          <w:rFonts w:cs="Times New Roman"/>
          <w:spacing w:val="20"/>
          <w:szCs w:val="20"/>
          <w:shd w:val="clear" w:color="auto" w:fill="FFFFFF"/>
        </w:rPr>
        <w:t>21st Century Information Fluency Project (21CIF). (2024). Information Fluency. https://21cif.com/aboutus/</w:t>
      </w:r>
    </w:p>
    <w:p w14:paraId="6A43B8F4" w14:textId="77777777" w:rsidR="001B095D" w:rsidRPr="0084778E" w:rsidRDefault="00000000" w:rsidP="001B095D">
      <w:pPr>
        <w:widowControl w:val="0"/>
        <w:spacing w:line="360" w:lineRule="auto"/>
        <w:ind w:left="720" w:hanging="720"/>
        <w:rPr>
          <w:rFonts w:cs="Times New Roman"/>
          <w:szCs w:val="20"/>
        </w:rPr>
      </w:pPr>
      <w:r w:rsidRPr="0084778E">
        <w:rPr>
          <w:rFonts w:cs="Times New Roman"/>
          <w:szCs w:val="20"/>
        </w:rPr>
        <w:t>Al Ameen, I. N. M. (2019)</w:t>
      </w:r>
      <w:bookmarkEnd w:id="4"/>
      <w:r w:rsidRPr="0084778E">
        <w:rPr>
          <w:rFonts w:cs="Times New Roman"/>
          <w:szCs w:val="20"/>
        </w:rPr>
        <w:t>. Moderating the risk of intragroup conflict on task performance through digital information fluency in the enterprise social media context. (Doctoral dissertation, Brunel University London).</w:t>
      </w:r>
    </w:p>
    <w:p w14:paraId="0C6D2D58" w14:textId="006E781C" w:rsidR="00DB308E" w:rsidRPr="00DB308E" w:rsidRDefault="00000000" w:rsidP="00DB308E">
      <w:pPr>
        <w:widowControl w:val="0"/>
        <w:spacing w:line="360" w:lineRule="auto"/>
        <w:ind w:left="720" w:hanging="720"/>
        <w:rPr>
          <w:rStyle w:val="Hyperlink"/>
          <w:rFonts w:cs="Times New Roman"/>
          <w:color w:val="auto"/>
          <w:szCs w:val="20"/>
          <w:shd w:val="clear" w:color="auto" w:fill="FFFFFF"/>
          <w:lang w:val="nb-NO"/>
        </w:rPr>
      </w:pPr>
      <w:r w:rsidRPr="0084778E">
        <w:rPr>
          <w:rFonts w:cs="Times New Roman"/>
          <w:szCs w:val="20"/>
          <w:shd w:val="clear" w:color="auto" w:fill="FFFFFF"/>
        </w:rPr>
        <w:t>Alcívar, E. S. (2022). Flipped Classroom for enhancing fluency in secondary students from a public school: Aula invertida para mejorar la fluidez en estudiantes de secundaria de una escuela pública. </w:t>
      </w:r>
      <w:r w:rsidRPr="0084778E">
        <w:rPr>
          <w:rFonts w:cs="Times New Roman"/>
          <w:i/>
          <w:iCs/>
          <w:szCs w:val="20"/>
          <w:shd w:val="clear" w:color="auto" w:fill="FFFFFF"/>
          <w:lang w:val="nb-NO"/>
        </w:rPr>
        <w:t>Revista Ecos de la Academia</w:t>
      </w:r>
      <w:r w:rsidRPr="0084778E">
        <w:rPr>
          <w:rFonts w:cs="Times New Roman"/>
          <w:szCs w:val="20"/>
          <w:shd w:val="clear" w:color="auto" w:fill="FFFFFF"/>
          <w:lang w:val="nb-NO"/>
        </w:rPr>
        <w:t>, </w:t>
      </w:r>
      <w:r w:rsidRPr="0084778E">
        <w:rPr>
          <w:rFonts w:cs="Times New Roman"/>
          <w:i/>
          <w:iCs/>
          <w:szCs w:val="20"/>
          <w:shd w:val="clear" w:color="auto" w:fill="FFFFFF"/>
          <w:lang w:val="nb-NO"/>
        </w:rPr>
        <w:t>8</w:t>
      </w:r>
      <w:r w:rsidRPr="0084778E">
        <w:rPr>
          <w:rFonts w:cs="Times New Roman"/>
          <w:szCs w:val="20"/>
          <w:shd w:val="clear" w:color="auto" w:fill="FFFFFF"/>
          <w:lang w:val="nb-NO"/>
        </w:rPr>
        <w:t>(15), 57-65.</w:t>
      </w:r>
      <w:r w:rsidRPr="0084778E">
        <w:rPr>
          <w:rFonts w:cs="Times New Roman"/>
          <w:szCs w:val="20"/>
          <w:lang w:val="nb-NO"/>
        </w:rPr>
        <w:t xml:space="preserve"> </w:t>
      </w:r>
      <w:r w:rsidRPr="00DB308E">
        <w:rPr>
          <w:rFonts w:cs="Times New Roman"/>
          <w:szCs w:val="20"/>
          <w:shd w:val="clear" w:color="auto" w:fill="FFFFFF"/>
          <w:lang w:val="nb-NO"/>
        </w:rPr>
        <w:t>https://doi.org/10.53358/ecosacademia.v8i15.708</w:t>
      </w:r>
    </w:p>
    <w:p w14:paraId="0DABD6FB" w14:textId="77777777" w:rsidR="00734EF8" w:rsidRPr="004942BE" w:rsidRDefault="00000000" w:rsidP="00734EF8">
      <w:pPr>
        <w:widowControl w:val="0"/>
        <w:spacing w:line="360" w:lineRule="auto"/>
        <w:ind w:left="720" w:hanging="720"/>
        <w:rPr>
          <w:rFonts w:cs="Times New Roman"/>
          <w:szCs w:val="20"/>
          <w:lang w:val="nb-NO"/>
        </w:rPr>
      </w:pPr>
      <w:r w:rsidRPr="0084778E">
        <w:rPr>
          <w:rFonts w:cs="Times New Roman"/>
          <w:szCs w:val="20"/>
        </w:rPr>
        <w:lastRenderedPageBreak/>
        <w:t>Athreya, B. H., &amp; Mouza, C. (</w:t>
      </w:r>
      <w:r w:rsidRPr="0084778E">
        <w:rPr>
          <w:rFonts w:cs="Times New Roman"/>
          <w:szCs w:val="20"/>
          <w:cs/>
        </w:rPr>
        <w:t xml:space="preserve">2016). </w:t>
      </w:r>
      <w:r w:rsidRPr="0084778E">
        <w:rPr>
          <w:rFonts w:cs="Times New Roman"/>
          <w:szCs w:val="20"/>
        </w:rPr>
        <w:t xml:space="preserve">Thinking skills for the digital generation: The development of thinking and learning in the age of information. </w:t>
      </w:r>
      <w:r w:rsidRPr="0084778E">
        <w:rPr>
          <w:rFonts w:cs="Times New Roman"/>
          <w:szCs w:val="20"/>
          <w:lang w:val="nb-NO"/>
        </w:rPr>
        <w:t xml:space="preserve">Springer. </w:t>
      </w:r>
      <w:hyperlink r:id="rId11" w:history="1">
        <w:r w:rsidRPr="0084778E">
          <w:rPr>
            <w:rFonts w:cs="Times New Roman"/>
            <w:szCs w:val="20"/>
            <w:lang w:val="nb-NO"/>
          </w:rPr>
          <w:t>https://doi.org/10.1007/978-3-319-12364-6</w:t>
        </w:r>
      </w:hyperlink>
    </w:p>
    <w:p w14:paraId="14630F7D" w14:textId="77777777" w:rsidR="00D73CFF" w:rsidRPr="0084778E" w:rsidRDefault="00000000" w:rsidP="00D73CFF">
      <w:pPr>
        <w:widowControl w:val="0"/>
        <w:spacing w:line="360" w:lineRule="auto"/>
        <w:ind w:left="720" w:hanging="720"/>
        <w:rPr>
          <w:rFonts w:cs="Times New Roman"/>
          <w:szCs w:val="20"/>
        </w:rPr>
      </w:pPr>
      <w:r w:rsidRPr="0084778E">
        <w:rPr>
          <w:rFonts w:cs="Times New Roman"/>
          <w:szCs w:val="20"/>
          <w:lang w:val="nb-NO"/>
        </w:rPr>
        <w:t xml:space="preserve">Barrow, J., Perkins, J., Marini, P., &amp; Davidson, A. (2020). </w:t>
      </w:r>
      <w:r w:rsidRPr="0084778E">
        <w:rPr>
          <w:rFonts w:cs="Times New Roman"/>
          <w:szCs w:val="20"/>
        </w:rPr>
        <w:t>The Future Ready Ideas Lab: Future Proofing Bioscience Students Enterprise Skills. </w:t>
      </w:r>
      <w:r w:rsidRPr="0084778E">
        <w:rPr>
          <w:rFonts w:cs="Times New Roman"/>
          <w:i/>
          <w:iCs/>
          <w:szCs w:val="20"/>
        </w:rPr>
        <w:t>Compass: Journal of Learning and Teaching</w:t>
      </w:r>
      <w:r w:rsidRPr="0084778E">
        <w:rPr>
          <w:rFonts w:cs="Times New Roman"/>
          <w:szCs w:val="20"/>
        </w:rPr>
        <w:t>.</w:t>
      </w:r>
    </w:p>
    <w:p w14:paraId="1712738B" w14:textId="77777777" w:rsidR="00DB308E" w:rsidRPr="00DB308E" w:rsidRDefault="00DB308E" w:rsidP="00DB308E">
      <w:pPr>
        <w:widowControl w:val="0"/>
        <w:spacing w:line="360" w:lineRule="auto"/>
        <w:ind w:left="720" w:hanging="720"/>
        <w:rPr>
          <w:rFonts w:cs="Times New Roman"/>
          <w:color w:val="111111"/>
          <w:szCs w:val="20"/>
        </w:rPr>
      </w:pPr>
      <w:r w:rsidRPr="00DB308E">
        <w:rPr>
          <w:rFonts w:cs="Times New Roman"/>
          <w:color w:val="222222"/>
          <w:szCs w:val="20"/>
          <w:shd w:val="clear" w:color="auto" w:fill="FFFFFF"/>
        </w:rPr>
        <w:t>Beile, P. M. (2007). Assessing an institution-wide information fluency program: Commitment, plan, and purposes. </w:t>
      </w:r>
      <w:r w:rsidRPr="00DB308E">
        <w:rPr>
          <w:rFonts w:cs="Times New Roman"/>
          <w:i/>
          <w:iCs/>
          <w:color w:val="222222"/>
          <w:szCs w:val="20"/>
          <w:shd w:val="clear" w:color="auto" w:fill="FFFFFF"/>
        </w:rPr>
        <w:t>Public Services Quarterly</w:t>
      </w:r>
      <w:r w:rsidRPr="00DB308E">
        <w:rPr>
          <w:rFonts w:cs="Times New Roman"/>
          <w:color w:val="222222"/>
          <w:szCs w:val="20"/>
          <w:shd w:val="clear" w:color="auto" w:fill="FFFFFF"/>
        </w:rPr>
        <w:t>, </w:t>
      </w:r>
      <w:r w:rsidRPr="00DB308E">
        <w:rPr>
          <w:rFonts w:cs="Times New Roman"/>
          <w:i/>
          <w:iCs/>
          <w:color w:val="222222"/>
          <w:szCs w:val="20"/>
          <w:shd w:val="clear" w:color="auto" w:fill="FFFFFF"/>
        </w:rPr>
        <w:t>3</w:t>
      </w:r>
      <w:r w:rsidRPr="00DB308E">
        <w:rPr>
          <w:rFonts w:cs="Times New Roman"/>
          <w:color w:val="222222"/>
          <w:szCs w:val="20"/>
          <w:shd w:val="clear" w:color="auto" w:fill="FFFFFF"/>
        </w:rPr>
        <w:t>(1-2), 127-146.</w:t>
      </w:r>
      <w:r w:rsidRPr="00DB308E">
        <w:rPr>
          <w:rFonts w:cs="Times New Roman"/>
          <w:szCs w:val="20"/>
          <w:shd w:val="clear" w:color="auto" w:fill="FFFFFF"/>
        </w:rPr>
        <w:t>https://doi.org/</w:t>
      </w:r>
      <w:hyperlink r:id="rId12" w:tgtFrame="_blank" w:history="1">
        <w:r w:rsidRPr="00DB308E">
          <w:rPr>
            <w:rStyle w:val="Hyperlink"/>
            <w:rFonts w:cs="Times New Roman"/>
            <w:szCs w:val="20"/>
            <w:bdr w:val="none" w:sz="0" w:space="0" w:color="auto" w:frame="1"/>
          </w:rPr>
          <w:t>10.1300/J295v03n01_07</w:t>
        </w:r>
      </w:hyperlink>
    </w:p>
    <w:p w14:paraId="3755D9A5" w14:textId="77777777" w:rsidR="00D73CFF" w:rsidRPr="0084778E" w:rsidRDefault="00000000" w:rsidP="00734EF8">
      <w:pPr>
        <w:widowControl w:val="0"/>
        <w:spacing w:line="360" w:lineRule="auto"/>
        <w:ind w:left="720" w:hanging="720"/>
        <w:rPr>
          <w:rFonts w:cs="Times New Roman"/>
          <w:szCs w:val="20"/>
        </w:rPr>
      </w:pPr>
      <w:r w:rsidRPr="0084778E">
        <w:rPr>
          <w:rFonts w:cs="Times New Roman"/>
          <w:szCs w:val="20"/>
        </w:rPr>
        <w:t xml:space="preserve">Bundy, A. (Ed.). (2004). </w:t>
      </w:r>
      <w:r w:rsidRPr="0084778E">
        <w:rPr>
          <w:rFonts w:cs="Times New Roman"/>
          <w:i/>
          <w:iCs/>
          <w:szCs w:val="20"/>
        </w:rPr>
        <w:t xml:space="preserve">Australian and New Zealand Information Literacy Framework: Principles, Standards and Practice. </w:t>
      </w:r>
      <w:r w:rsidRPr="0084778E">
        <w:rPr>
          <w:rFonts w:cs="Times New Roman"/>
          <w:i/>
          <w:iCs/>
          <w:szCs w:val="20"/>
          <w:shd w:val="clear" w:color="auto" w:fill="FFFFFF"/>
        </w:rPr>
        <w:t>Principles, Standards, and Practice. (2</w:t>
      </w:r>
      <w:r w:rsidRPr="0084778E">
        <w:rPr>
          <w:rFonts w:cs="Times New Roman"/>
          <w:i/>
          <w:iCs/>
          <w:szCs w:val="20"/>
          <w:shd w:val="clear" w:color="auto" w:fill="FFFFFF"/>
          <w:vertAlign w:val="superscript"/>
        </w:rPr>
        <w:t xml:space="preserve">nd </w:t>
      </w:r>
      <w:r w:rsidRPr="0084778E">
        <w:rPr>
          <w:rFonts w:cs="Times New Roman"/>
          <w:szCs w:val="20"/>
          <w:shd w:val="clear" w:color="auto" w:fill="FFFFFF"/>
        </w:rPr>
        <w:t>ed.).</w:t>
      </w:r>
      <w:r w:rsidRPr="0084778E">
        <w:rPr>
          <w:rFonts w:cs="Times New Roman"/>
          <w:szCs w:val="20"/>
        </w:rPr>
        <w:t xml:space="preserve"> </w:t>
      </w:r>
      <w:r w:rsidRPr="0084778E">
        <w:rPr>
          <w:rFonts w:cs="Times New Roman"/>
        </w:rPr>
        <w:t xml:space="preserve">Australian and New Zealand Institute for Information Literacy. </w:t>
      </w:r>
      <w:r w:rsidRPr="0084778E">
        <w:rPr>
          <w:rFonts w:cs="Times New Roman"/>
          <w:szCs w:val="20"/>
        </w:rPr>
        <w:t>https://adbu.fr/wp-content/uploads/2013/02/Infolit-2nd-edition.pdf</w:t>
      </w:r>
    </w:p>
    <w:p w14:paraId="738B615C" w14:textId="77777777" w:rsidR="009A28F0" w:rsidRPr="0084778E" w:rsidRDefault="00000000" w:rsidP="009A28F0">
      <w:pPr>
        <w:widowControl w:val="0"/>
        <w:spacing w:line="360" w:lineRule="auto"/>
        <w:ind w:left="720" w:hanging="720"/>
        <w:rPr>
          <w:rStyle w:val="Hyperlink"/>
          <w:rFonts w:cs="Times New Roman"/>
          <w:color w:val="auto"/>
          <w:szCs w:val="20"/>
        </w:rPr>
      </w:pPr>
      <w:r w:rsidRPr="0084778E">
        <w:rPr>
          <w:rFonts w:cs="Times New Roman"/>
          <w:szCs w:val="20"/>
        </w:rPr>
        <w:t xml:space="preserve">Byrne, B. M. (2013). Structural equation modeling with Mplus: Basic concepts, applications, and programming. Routledge. </w:t>
      </w:r>
      <w:hyperlink r:id="rId13" w:history="1">
        <w:r w:rsidRPr="0084778E">
          <w:rPr>
            <w:rStyle w:val="Hyperlink"/>
            <w:rFonts w:cs="Times New Roman"/>
            <w:color w:val="auto"/>
            <w:szCs w:val="20"/>
          </w:rPr>
          <w:t>https://doi.org/10.4324/9780203807644</w:t>
        </w:r>
      </w:hyperlink>
    </w:p>
    <w:p w14:paraId="2AACD2F6" w14:textId="77777777" w:rsidR="00FF58D3" w:rsidRDefault="00FF58D3" w:rsidP="00734EF8">
      <w:pPr>
        <w:widowControl w:val="0"/>
        <w:spacing w:line="360" w:lineRule="auto"/>
        <w:ind w:left="720" w:hanging="720"/>
      </w:pPr>
      <w:r>
        <w:t xml:space="preserve">Chicco, D., Warrens, M. J., &amp; Jurman, G. (2021). The coefficient of determination R-squared is more informative than SMAPE, MAE, MAPE, MSE, and RMSE in regression analysis evaluation. </w:t>
      </w:r>
      <w:r w:rsidRPr="00FF58D3">
        <w:rPr>
          <w:i/>
          <w:iCs/>
        </w:rPr>
        <w:t>Peer Journal of Computer Science, 7</w:t>
      </w:r>
      <w:r>
        <w:t xml:space="preserve">, Article e623, 1–24. https://doi.org/10.7717/peerj-cs.623 </w:t>
      </w:r>
    </w:p>
    <w:p w14:paraId="23E1F3CE" w14:textId="77777777" w:rsidR="007C22BF" w:rsidRPr="007C22BF" w:rsidRDefault="00000000" w:rsidP="007C22BF">
      <w:pPr>
        <w:widowControl w:val="0"/>
        <w:spacing w:line="360" w:lineRule="auto"/>
        <w:ind w:left="720" w:hanging="720"/>
        <w:rPr>
          <w:rStyle w:val="Hyperlink"/>
          <w:rFonts w:cs="Times New Roman"/>
          <w:color w:val="auto"/>
          <w:szCs w:val="20"/>
        </w:rPr>
      </w:pPr>
      <w:r w:rsidRPr="0084778E">
        <w:rPr>
          <w:rFonts w:cs="Times New Roman"/>
          <w:szCs w:val="20"/>
        </w:rPr>
        <w:t xml:space="preserve">Chou, Y. C., &amp; Chiu, C. H. (2020). The development and validation of a digital fluency scale for preadolescents. </w:t>
      </w:r>
      <w:r w:rsidRPr="007C22BF">
        <w:rPr>
          <w:rFonts w:cs="Times New Roman"/>
          <w:szCs w:val="20"/>
        </w:rPr>
        <w:t xml:space="preserve">The Asia-Pacific Education Researcher, 29, 541-551. </w:t>
      </w:r>
      <w:hyperlink r:id="rId14" w:history="1">
        <w:r w:rsidRPr="007C22BF">
          <w:rPr>
            <w:rStyle w:val="Hyperlink"/>
            <w:rFonts w:cs="Times New Roman"/>
            <w:color w:val="auto"/>
            <w:szCs w:val="20"/>
          </w:rPr>
          <w:t>https://doi.org/10.1007/s40299-020-00505-1</w:t>
        </w:r>
      </w:hyperlink>
    </w:p>
    <w:p w14:paraId="58CA9F8B" w14:textId="608D32C7" w:rsidR="007C22BF" w:rsidRPr="00DE23FD" w:rsidRDefault="007C22BF" w:rsidP="007C22BF">
      <w:pPr>
        <w:widowControl w:val="0"/>
        <w:spacing w:line="360" w:lineRule="auto"/>
        <w:ind w:left="720" w:hanging="720"/>
        <w:rPr>
          <w:rFonts w:cs="Times New Roman"/>
          <w:szCs w:val="20"/>
        </w:rPr>
      </w:pPr>
      <w:r w:rsidRPr="007C22BF">
        <w:rPr>
          <w:rFonts w:cs="Times New Roman"/>
          <w:szCs w:val="20"/>
          <w:lang w:val="pt-PT"/>
        </w:rPr>
        <w:t xml:space="preserve">Costello, A. B., &amp; Osborne, J. (2005). </w:t>
      </w:r>
      <w:r w:rsidRPr="007C22BF">
        <w:rPr>
          <w:rFonts w:cs="Times New Roman"/>
          <w:szCs w:val="20"/>
        </w:rPr>
        <w:t xml:space="preserve">Best practices in exploratory factor analysis: four recommendations for getting the most from your analysis. </w:t>
      </w:r>
      <w:r w:rsidRPr="007C22BF">
        <w:rPr>
          <w:rFonts w:cs="Times New Roman"/>
          <w:i/>
          <w:iCs/>
          <w:szCs w:val="20"/>
        </w:rPr>
        <w:t>Practical Assessment, Research, and Evaluation, 10</w:t>
      </w:r>
      <w:r w:rsidRPr="007C22BF">
        <w:rPr>
          <w:rFonts w:cs="Times New Roman"/>
          <w:szCs w:val="20"/>
        </w:rPr>
        <w:t xml:space="preserve">, Article 7.  </w:t>
      </w:r>
      <w:hyperlink r:id="rId15" w:history="1">
        <w:r w:rsidRPr="007C22BF">
          <w:rPr>
            <w:rStyle w:val="Hyperlink"/>
            <w:rFonts w:cs="Times New Roman"/>
            <w:szCs w:val="20"/>
          </w:rPr>
          <w:t>https://doi.org/10.7275/jyj1-4868</w:t>
        </w:r>
      </w:hyperlink>
    </w:p>
    <w:p w14:paraId="6AA286CD" w14:textId="77777777" w:rsidR="009A28F0" w:rsidRPr="0084778E" w:rsidRDefault="00000000" w:rsidP="009A28F0">
      <w:pPr>
        <w:widowControl w:val="0"/>
        <w:spacing w:line="360" w:lineRule="auto"/>
        <w:ind w:left="720" w:hanging="720"/>
        <w:rPr>
          <w:rFonts w:cs="Times New Roman"/>
          <w:szCs w:val="20"/>
        </w:rPr>
      </w:pPr>
      <w:r w:rsidRPr="0084778E">
        <w:rPr>
          <w:rFonts w:cs="Times New Roman"/>
          <w:szCs w:val="20"/>
          <w:shd w:val="clear" w:color="auto" w:fill="FFFFFF"/>
        </w:rPr>
        <w:t>Doğan, İ. (2022). A simulation study comparing model fit measures of structural equation modeling with multivariate contaminated normal distribution. </w:t>
      </w:r>
      <w:r w:rsidRPr="0084778E">
        <w:rPr>
          <w:rFonts w:cs="Times New Roman"/>
          <w:i/>
          <w:iCs/>
          <w:szCs w:val="20"/>
          <w:shd w:val="clear" w:color="auto" w:fill="FFFFFF"/>
        </w:rPr>
        <w:t>Communications in Statistics-Simulation and Computation</w:t>
      </w:r>
      <w:r w:rsidRPr="0084778E">
        <w:rPr>
          <w:rFonts w:cs="Times New Roman"/>
          <w:szCs w:val="20"/>
          <w:shd w:val="clear" w:color="auto" w:fill="FFFFFF"/>
        </w:rPr>
        <w:t>, </w:t>
      </w:r>
      <w:r w:rsidRPr="0084778E">
        <w:rPr>
          <w:rFonts w:cs="Times New Roman"/>
          <w:i/>
          <w:iCs/>
          <w:szCs w:val="20"/>
          <w:shd w:val="clear" w:color="auto" w:fill="FFFFFF"/>
        </w:rPr>
        <w:t>51</w:t>
      </w:r>
      <w:r w:rsidRPr="0084778E">
        <w:rPr>
          <w:rFonts w:cs="Times New Roman"/>
          <w:szCs w:val="20"/>
          <w:shd w:val="clear" w:color="auto" w:fill="FFFFFF"/>
        </w:rPr>
        <w:t>(5), 2526-2536.</w:t>
      </w:r>
      <w:r w:rsidRPr="0084778E">
        <w:rPr>
          <w:rFonts w:cs="Times New Roman"/>
          <w:szCs w:val="20"/>
        </w:rPr>
        <w:t xml:space="preserve"> </w:t>
      </w:r>
      <w:hyperlink r:id="rId16" w:history="1">
        <w:r w:rsidRPr="0084778E">
          <w:rPr>
            <w:rStyle w:val="Hyperlink"/>
            <w:rFonts w:cs="Times New Roman"/>
            <w:color w:val="auto"/>
            <w:szCs w:val="20"/>
          </w:rPr>
          <w:t>https://doi.org/10.1080/03610918.2019.1698745</w:t>
        </w:r>
      </w:hyperlink>
    </w:p>
    <w:p w14:paraId="781A634D"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rPr>
        <w:t xml:space="preserve">Durmus Cemcem, G., Korkmaz, O., &amp; Cakir, R. (2023). Investigation of pre-service teachers' levels of digital citizenship, digital wisdom, and digital fluency. </w:t>
      </w:r>
      <w:r w:rsidRPr="0084778E">
        <w:rPr>
          <w:rFonts w:cs="Times New Roman"/>
          <w:i/>
          <w:iCs/>
          <w:szCs w:val="20"/>
        </w:rPr>
        <w:t>International Journal of Technology in Education, 6</w:t>
      </w:r>
      <w:r w:rsidRPr="0084778E">
        <w:rPr>
          <w:rFonts w:cs="Times New Roman"/>
          <w:szCs w:val="20"/>
        </w:rPr>
        <w:t xml:space="preserve">(3), 364-384. https://doi.org/10.46328/ijte.427 </w:t>
      </w:r>
    </w:p>
    <w:p w14:paraId="27607257"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rPr>
        <w:t xml:space="preserve">Ehlers, U. D. (2022). Future skills are a new currency for the world of tomorrow. In </w:t>
      </w:r>
      <w:r w:rsidRPr="0084778E">
        <w:rPr>
          <w:rFonts w:cs="Times New Roman"/>
          <w:i/>
          <w:iCs/>
          <w:szCs w:val="20"/>
        </w:rPr>
        <w:t>Handbook of Digital Higher Education</w:t>
      </w:r>
      <w:r w:rsidRPr="0084778E">
        <w:rPr>
          <w:rFonts w:cs="Times New Roman"/>
          <w:szCs w:val="20"/>
        </w:rPr>
        <w:t> (pp. 84-98). Edward Elgar Publishing.</w:t>
      </w:r>
    </w:p>
    <w:p w14:paraId="3A0F46B4" w14:textId="77777777" w:rsidR="001B095D" w:rsidRPr="0084778E" w:rsidRDefault="00000000" w:rsidP="001B095D">
      <w:pPr>
        <w:widowControl w:val="0"/>
        <w:spacing w:line="360" w:lineRule="auto"/>
        <w:ind w:left="720" w:hanging="720"/>
        <w:rPr>
          <w:rFonts w:cs="Times New Roman"/>
          <w:szCs w:val="20"/>
        </w:rPr>
      </w:pPr>
      <w:r w:rsidRPr="0084778E">
        <w:rPr>
          <w:rFonts w:cs="Times New Roman"/>
          <w:szCs w:val="20"/>
        </w:rPr>
        <w:t xml:space="preserve">Eisenberg, M. B. (2008). Information literacy: Essential skills for the Information Age. </w:t>
      </w:r>
      <w:r w:rsidRPr="0084778E">
        <w:rPr>
          <w:rFonts w:cs="Times New Roman"/>
          <w:i/>
          <w:iCs/>
          <w:szCs w:val="20"/>
        </w:rPr>
        <w:t>Journal of Library &amp; Information Technology, 28</w:t>
      </w:r>
      <w:r w:rsidRPr="0084778E">
        <w:rPr>
          <w:rFonts w:cs="Times New Roman"/>
          <w:szCs w:val="20"/>
        </w:rPr>
        <w:t>(2), 39-47.</w:t>
      </w:r>
    </w:p>
    <w:p w14:paraId="77182BB9" w14:textId="77777777" w:rsidR="009A28F0" w:rsidRPr="0084778E" w:rsidRDefault="00000000" w:rsidP="009A28F0">
      <w:pPr>
        <w:widowControl w:val="0"/>
        <w:spacing w:line="360" w:lineRule="auto"/>
        <w:ind w:left="720" w:hanging="720"/>
        <w:rPr>
          <w:rFonts w:eastAsiaTheme="minorEastAsia" w:cs="Times New Roman"/>
          <w:szCs w:val="20"/>
          <w:lang w:eastAsia="ja-JP"/>
        </w:rPr>
      </w:pPr>
      <w:r w:rsidRPr="0084778E">
        <w:rPr>
          <w:rFonts w:eastAsiaTheme="minorEastAsia" w:cs="Times New Roman"/>
          <w:szCs w:val="20"/>
          <w:lang w:eastAsia="ja-JP"/>
        </w:rPr>
        <w:t xml:space="preserve">Hair, J. F., Black, W. C., Babin, B. J., &amp; Anderson R. E. (2014). </w:t>
      </w:r>
      <w:r w:rsidRPr="00FF3BD7">
        <w:rPr>
          <w:rFonts w:eastAsiaTheme="minorEastAsia" w:cs="Times New Roman"/>
          <w:i/>
          <w:iCs/>
          <w:szCs w:val="20"/>
          <w:lang w:eastAsia="ja-JP"/>
        </w:rPr>
        <w:t>Multivariate Data Analysis</w:t>
      </w:r>
      <w:r w:rsidRPr="0084778E">
        <w:rPr>
          <w:rFonts w:eastAsiaTheme="minorEastAsia" w:cs="Times New Roman"/>
          <w:szCs w:val="20"/>
          <w:lang w:eastAsia="ja-JP"/>
        </w:rPr>
        <w:t xml:space="preserve"> (7th ed.). Pearson Education Limited.</w:t>
      </w:r>
    </w:p>
    <w:p w14:paraId="5DACBFD0" w14:textId="77777777" w:rsidR="00DB308E" w:rsidRDefault="00000000" w:rsidP="00DB308E">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 xml:space="preserve">Heine, C., Barr, D., O’Connor, D., &amp; McNabb, M. (2006). </w:t>
      </w:r>
      <w:r w:rsidRPr="00FF3BD7">
        <w:rPr>
          <w:rFonts w:cs="Times New Roman"/>
          <w:i/>
          <w:iCs/>
          <w:szCs w:val="20"/>
          <w:shd w:val="clear" w:color="auto" w:fill="FFFFFF"/>
        </w:rPr>
        <w:t>21st Century Information Fluency: Assessing Students Knowledge and Skills</w:t>
      </w:r>
      <w:r w:rsidRPr="0084778E">
        <w:rPr>
          <w:rFonts w:cs="Times New Roman"/>
          <w:szCs w:val="20"/>
          <w:shd w:val="clear" w:color="auto" w:fill="FFFFFF"/>
        </w:rPr>
        <w:t xml:space="preserve">. </w:t>
      </w:r>
    </w:p>
    <w:p w14:paraId="495B02B8" w14:textId="0DCA41C9" w:rsidR="00DB308E" w:rsidRDefault="00DB308E" w:rsidP="00DB308E">
      <w:pPr>
        <w:widowControl w:val="0"/>
        <w:spacing w:line="360" w:lineRule="auto"/>
        <w:ind w:left="720" w:hanging="720"/>
        <w:rPr>
          <w:rFonts w:cs="Times New Roman"/>
          <w:szCs w:val="20"/>
        </w:rPr>
      </w:pPr>
      <w:r w:rsidRPr="002E78A4">
        <w:rPr>
          <w:rFonts w:cs="Times New Roman"/>
          <w:szCs w:val="20"/>
        </w:rPr>
        <w:t xml:space="preserve">His, S. (2007) Conceptualizing </w:t>
      </w:r>
      <w:r>
        <w:rPr>
          <w:rFonts w:cs="Times New Roman"/>
          <w:szCs w:val="20"/>
        </w:rPr>
        <w:t>l</w:t>
      </w:r>
      <w:r w:rsidRPr="002E78A4">
        <w:rPr>
          <w:rFonts w:cs="Times New Roman"/>
          <w:szCs w:val="20"/>
        </w:rPr>
        <w:t xml:space="preserve">earning from the </w:t>
      </w:r>
      <w:r>
        <w:rPr>
          <w:rFonts w:cs="Times New Roman"/>
          <w:szCs w:val="20"/>
        </w:rPr>
        <w:t>e</w:t>
      </w:r>
      <w:r w:rsidRPr="002E78A4">
        <w:rPr>
          <w:rFonts w:cs="Times New Roman"/>
          <w:szCs w:val="20"/>
        </w:rPr>
        <w:t xml:space="preserve">veryday </w:t>
      </w:r>
      <w:r>
        <w:rPr>
          <w:rFonts w:cs="Times New Roman"/>
          <w:szCs w:val="20"/>
        </w:rPr>
        <w:t>a</w:t>
      </w:r>
      <w:r w:rsidRPr="002E78A4">
        <w:rPr>
          <w:rFonts w:cs="Times New Roman"/>
          <w:szCs w:val="20"/>
        </w:rPr>
        <w:t xml:space="preserve">ctivities of </w:t>
      </w:r>
      <w:r>
        <w:rPr>
          <w:rFonts w:cs="Times New Roman"/>
          <w:szCs w:val="20"/>
        </w:rPr>
        <w:t>d</w:t>
      </w:r>
      <w:r w:rsidRPr="002E78A4">
        <w:rPr>
          <w:rFonts w:cs="Times New Roman"/>
          <w:szCs w:val="20"/>
        </w:rPr>
        <w:t xml:space="preserve">igital </w:t>
      </w:r>
      <w:r>
        <w:rPr>
          <w:rFonts w:cs="Times New Roman"/>
          <w:szCs w:val="20"/>
        </w:rPr>
        <w:t>k</w:t>
      </w:r>
      <w:r w:rsidRPr="002E78A4">
        <w:rPr>
          <w:rFonts w:cs="Times New Roman"/>
          <w:szCs w:val="20"/>
        </w:rPr>
        <w:t xml:space="preserve">ids, </w:t>
      </w:r>
      <w:r w:rsidRPr="002E78A4">
        <w:rPr>
          <w:rFonts w:cs="Times New Roman"/>
          <w:i/>
          <w:iCs/>
          <w:szCs w:val="20"/>
        </w:rPr>
        <w:t>International Journal of Science Education,</w:t>
      </w:r>
      <w:r w:rsidRPr="002E78A4">
        <w:rPr>
          <w:rFonts w:cs="Times New Roman"/>
          <w:szCs w:val="20"/>
        </w:rPr>
        <w:t xml:space="preserve"> </w:t>
      </w:r>
      <w:r w:rsidRPr="00DB308E">
        <w:rPr>
          <w:rFonts w:cs="Times New Roman"/>
          <w:i/>
          <w:iCs/>
          <w:szCs w:val="20"/>
        </w:rPr>
        <w:t>29</w:t>
      </w:r>
      <w:r w:rsidRPr="002E78A4">
        <w:rPr>
          <w:rFonts w:cs="Times New Roman"/>
          <w:szCs w:val="20"/>
        </w:rPr>
        <w:t xml:space="preserve">(12), 1509-1529, </w:t>
      </w:r>
      <w:hyperlink r:id="rId17" w:history="1">
        <w:r w:rsidRPr="00DE194C">
          <w:rPr>
            <w:rStyle w:val="Hyperlink"/>
            <w:rFonts w:cs="Times New Roman"/>
            <w:szCs w:val="20"/>
          </w:rPr>
          <w:t>https://doi.org/10.1080/09500690701494076</w:t>
        </w:r>
      </w:hyperlink>
    </w:p>
    <w:p w14:paraId="3C3D2435" w14:textId="77777777" w:rsidR="00EF71D5" w:rsidRPr="00EF71D5" w:rsidRDefault="00000000" w:rsidP="00EF71D5">
      <w:pPr>
        <w:widowControl w:val="0"/>
        <w:spacing w:line="360" w:lineRule="auto"/>
        <w:ind w:left="720" w:hanging="720"/>
        <w:rPr>
          <w:rStyle w:val="Hyperlink"/>
          <w:rFonts w:cs="Times New Roman"/>
          <w:color w:val="auto"/>
          <w:szCs w:val="20"/>
        </w:rPr>
      </w:pPr>
      <w:r w:rsidRPr="0084778E">
        <w:rPr>
          <w:rFonts w:cs="Times New Roman"/>
          <w:szCs w:val="20"/>
          <w:lang w:val="nb-NO"/>
        </w:rPr>
        <w:t xml:space="preserve">Hu, L. T., &amp; Bentler, P. M. (1999). </w:t>
      </w:r>
      <w:r w:rsidRPr="0084778E">
        <w:rPr>
          <w:rFonts w:cs="Times New Roman"/>
          <w:szCs w:val="20"/>
        </w:rPr>
        <w:t xml:space="preserve">Cutoff criteria for fit indexes in covariance structure analysis: Conventional </w:t>
      </w:r>
      <w:r w:rsidRPr="00EF71D5">
        <w:rPr>
          <w:rFonts w:cs="Times New Roman"/>
          <w:szCs w:val="20"/>
        </w:rPr>
        <w:t xml:space="preserve">criteria versus new alternatives. </w:t>
      </w:r>
      <w:r w:rsidRPr="00EF71D5">
        <w:rPr>
          <w:rFonts w:cs="Times New Roman"/>
          <w:i/>
          <w:szCs w:val="20"/>
        </w:rPr>
        <w:t>Structural Equation Modeling, 6</w:t>
      </w:r>
      <w:r w:rsidRPr="00EF71D5">
        <w:rPr>
          <w:rFonts w:cs="Times New Roman"/>
          <w:szCs w:val="20"/>
        </w:rPr>
        <w:t xml:space="preserve">(1), 1 – 55. </w:t>
      </w:r>
      <w:hyperlink r:id="rId18" w:history="1">
        <w:r w:rsidRPr="00EF71D5">
          <w:rPr>
            <w:rStyle w:val="Hyperlink"/>
            <w:rFonts w:cs="Times New Roman"/>
            <w:color w:val="auto"/>
            <w:szCs w:val="20"/>
          </w:rPr>
          <w:t>http://doi.org/10.1080/10705519909540118</w:t>
        </w:r>
      </w:hyperlink>
    </w:p>
    <w:p w14:paraId="5284908B" w14:textId="3938345A" w:rsidR="00EF71D5" w:rsidRPr="00EF71D5" w:rsidRDefault="00EF71D5" w:rsidP="00EF71D5">
      <w:pPr>
        <w:widowControl w:val="0"/>
        <w:spacing w:line="360" w:lineRule="auto"/>
        <w:ind w:left="720" w:hanging="720"/>
        <w:rPr>
          <w:rFonts w:cs="Times New Roman"/>
          <w:szCs w:val="20"/>
        </w:rPr>
      </w:pPr>
      <w:r w:rsidRPr="00EF71D5">
        <w:rPr>
          <w:rFonts w:cs="Times New Roman"/>
          <w:szCs w:val="20"/>
        </w:rPr>
        <w:t>Individual student data collection system. (2023) Data Management Center. (Thailand). http://tinyurl.com/3vwcexuf</w:t>
      </w:r>
    </w:p>
    <w:p w14:paraId="71B28F80" w14:textId="77777777" w:rsidR="001B095D" w:rsidRPr="0084778E" w:rsidRDefault="00000000" w:rsidP="001B095D">
      <w:pPr>
        <w:widowControl w:val="0"/>
        <w:spacing w:line="360" w:lineRule="auto"/>
        <w:ind w:left="720" w:hanging="720"/>
        <w:rPr>
          <w:rFonts w:cs="Times New Roman"/>
          <w:szCs w:val="20"/>
          <w:lang w:bidi="th-TH"/>
        </w:rPr>
      </w:pPr>
      <w:r w:rsidRPr="0084778E">
        <w:rPr>
          <w:rFonts w:cs="Times New Roman"/>
          <w:szCs w:val="20"/>
          <w:lang w:bidi="th-TH"/>
        </w:rPr>
        <w:lastRenderedPageBreak/>
        <w:t>Information Fluency. (2024). https://21cif.com/resources/difcore/index.php</w:t>
      </w:r>
    </w:p>
    <w:p w14:paraId="6A3823CC" w14:textId="77777777" w:rsidR="009A28F0" w:rsidRPr="0084778E" w:rsidRDefault="00000000" w:rsidP="009A28F0">
      <w:pPr>
        <w:widowControl w:val="0"/>
        <w:spacing w:line="360" w:lineRule="auto"/>
        <w:ind w:left="720" w:hanging="720"/>
        <w:rPr>
          <w:rFonts w:cs="Times New Roman"/>
          <w:szCs w:val="20"/>
          <w:lang w:eastAsia="zh-CN"/>
        </w:rPr>
      </w:pPr>
      <w:r w:rsidRPr="0084778E">
        <w:rPr>
          <w:rFonts w:cs="Times New Roman"/>
          <w:szCs w:val="20"/>
          <w:lang w:val="nb-NO" w:eastAsia="zh-CN"/>
        </w:rPr>
        <w:t xml:space="preserve">Jöreskog, K. G., Olsson, U. H., &amp; Fan, Y. W. (2016). </w:t>
      </w:r>
      <w:r w:rsidRPr="0084778E">
        <w:rPr>
          <w:rFonts w:cs="Times New Roman"/>
          <w:i/>
          <w:iCs/>
          <w:szCs w:val="20"/>
          <w:lang w:eastAsia="zh-CN"/>
        </w:rPr>
        <w:t>Multivariate analysis with LISREL.</w:t>
      </w:r>
      <w:r w:rsidRPr="0084778E">
        <w:rPr>
          <w:rFonts w:cs="Times New Roman"/>
          <w:szCs w:val="20"/>
          <w:lang w:eastAsia="zh-CN"/>
        </w:rPr>
        <w:t xml:space="preserve"> Berlin, Germany.</w:t>
      </w:r>
    </w:p>
    <w:p w14:paraId="06C24485"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rPr>
        <w:t>Kornpitack, P., &amp; Sawmong, S. (2022). Empirical analysis of factors influencing student satisfaction with online learning systems during the COVID-19 pandemic in Thailand. </w:t>
      </w:r>
      <w:r w:rsidRPr="0084778E">
        <w:rPr>
          <w:rFonts w:cs="Times New Roman"/>
          <w:i/>
          <w:iCs/>
          <w:szCs w:val="20"/>
        </w:rPr>
        <w:t>Heliyon, 8</w:t>
      </w:r>
      <w:r w:rsidRPr="0084778E">
        <w:rPr>
          <w:rFonts w:cs="Times New Roman"/>
          <w:szCs w:val="20"/>
        </w:rPr>
        <w:t xml:space="preserve">(3). </w:t>
      </w:r>
      <w:hyperlink r:id="rId19" w:history="1">
        <w:r w:rsidRPr="0084778E">
          <w:rPr>
            <w:rStyle w:val="Hyperlink"/>
            <w:rFonts w:cs="Times New Roman"/>
            <w:color w:val="auto"/>
            <w:szCs w:val="20"/>
          </w:rPr>
          <w:t>https://doi.org/10.1016/j.heliyon.2022.e09183</w:t>
        </w:r>
      </w:hyperlink>
    </w:p>
    <w:p w14:paraId="71B36B4B" w14:textId="77777777" w:rsidR="00DB308E" w:rsidRDefault="00000000" w:rsidP="00DB308E">
      <w:pPr>
        <w:widowControl w:val="0"/>
        <w:spacing w:line="360" w:lineRule="auto"/>
        <w:ind w:left="720" w:hanging="720"/>
        <w:rPr>
          <w:rStyle w:val="Hyperlink"/>
          <w:rFonts w:cs="Times New Roman"/>
          <w:color w:val="auto"/>
          <w:szCs w:val="20"/>
        </w:rPr>
      </w:pPr>
      <w:r w:rsidRPr="0084778E">
        <w:rPr>
          <w:rFonts w:cs="Times New Roman"/>
          <w:szCs w:val="20"/>
        </w:rPr>
        <w:t>Li, Y., Ye, H., Liu, A., Yang, X., &amp; Wang, X. (2018). Will digital fluency</w:t>
      </w:r>
      <w:r w:rsidRPr="0084778E">
        <w:rPr>
          <w:rFonts w:cs="Times New Roman"/>
          <w:szCs w:val="20"/>
          <w:shd w:val="clear" w:color="auto" w:fill="FFFFFF"/>
        </w:rPr>
        <w:t xml:space="preserve"> influence social media use? An empirical study of WeChat users. </w:t>
      </w:r>
      <w:r w:rsidRPr="0084778E">
        <w:rPr>
          <w:rFonts w:cs="Times New Roman"/>
          <w:i/>
          <w:iCs/>
          <w:szCs w:val="20"/>
          <w:shd w:val="clear" w:color="auto" w:fill="FFFFFF"/>
        </w:rPr>
        <w:t>ACM SIGMIS Database: The DATABASE for Advances in Information Systems</w:t>
      </w:r>
      <w:r w:rsidRPr="0084778E">
        <w:rPr>
          <w:rFonts w:cs="Times New Roman"/>
          <w:szCs w:val="20"/>
          <w:shd w:val="clear" w:color="auto" w:fill="FFFFFF"/>
        </w:rPr>
        <w:t>, </w:t>
      </w:r>
      <w:r w:rsidRPr="0084778E">
        <w:rPr>
          <w:rFonts w:cs="Times New Roman"/>
          <w:i/>
          <w:iCs/>
          <w:szCs w:val="20"/>
          <w:shd w:val="clear" w:color="auto" w:fill="FFFFFF"/>
        </w:rPr>
        <w:t>49</w:t>
      </w:r>
      <w:r w:rsidRPr="0084778E">
        <w:rPr>
          <w:rFonts w:cs="Times New Roman"/>
          <w:szCs w:val="20"/>
          <w:shd w:val="clear" w:color="auto" w:fill="FFFFFF"/>
        </w:rPr>
        <w:t>(4), 30-45.</w:t>
      </w:r>
      <w:r w:rsidRPr="0084778E">
        <w:rPr>
          <w:rFonts w:cs="Times New Roman"/>
          <w:szCs w:val="20"/>
        </w:rPr>
        <w:t xml:space="preserve"> </w:t>
      </w:r>
      <w:hyperlink r:id="rId20" w:history="1">
        <w:r w:rsidRPr="0084778E">
          <w:rPr>
            <w:rStyle w:val="Hyperlink"/>
            <w:rFonts w:cs="Times New Roman"/>
            <w:color w:val="auto"/>
            <w:szCs w:val="20"/>
          </w:rPr>
          <w:t>https://doi.org/10.1145/3290768.3290773</w:t>
        </w:r>
      </w:hyperlink>
    </w:p>
    <w:p w14:paraId="311CF8E4" w14:textId="4F0D198D" w:rsidR="00DB308E" w:rsidRPr="002E78A4" w:rsidRDefault="00DB308E" w:rsidP="00DB308E">
      <w:pPr>
        <w:widowControl w:val="0"/>
        <w:spacing w:line="360" w:lineRule="auto"/>
        <w:ind w:left="720" w:hanging="720"/>
        <w:rPr>
          <w:rStyle w:val="Hyperlink"/>
          <w:rFonts w:cs="Times New Roman"/>
          <w:szCs w:val="20"/>
          <w:lang w:bidi="th-TH"/>
        </w:rPr>
      </w:pPr>
      <w:r w:rsidRPr="002E78A4">
        <w:rPr>
          <w:rFonts w:cs="Times New Roman"/>
          <w:szCs w:val="20"/>
        </w:rPr>
        <w:t xml:space="preserve">Lin, H. (2000). Fluency with information technology. </w:t>
      </w:r>
      <w:r w:rsidRPr="002E78A4">
        <w:rPr>
          <w:rFonts w:cs="Times New Roman"/>
          <w:i/>
          <w:iCs/>
          <w:szCs w:val="20"/>
        </w:rPr>
        <w:t>Government Information Quarterly,</w:t>
      </w:r>
      <w:r w:rsidRPr="002E78A4">
        <w:rPr>
          <w:rFonts w:cs="Times New Roman"/>
          <w:szCs w:val="20"/>
        </w:rPr>
        <w:t xml:space="preserve"> 17(1), 69-76.</w:t>
      </w:r>
      <w:r w:rsidRPr="00DB308E">
        <w:t xml:space="preserve"> </w:t>
      </w:r>
      <w:r w:rsidRPr="00DB308E">
        <w:rPr>
          <w:rFonts w:cs="Times New Roman"/>
          <w:szCs w:val="20"/>
        </w:rPr>
        <w:t>https://doi.org/10.1016/S0740-624X(99)00024-6</w:t>
      </w:r>
    </w:p>
    <w:p w14:paraId="4595B3AF"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rPr>
        <w:t xml:space="preserve">Lombard, E. (2016). Information fluency: not information literacy 2.0. </w:t>
      </w:r>
      <w:r w:rsidRPr="0084778E">
        <w:rPr>
          <w:rFonts w:cs="Times New Roman"/>
          <w:i/>
          <w:iCs/>
          <w:szCs w:val="20"/>
        </w:rPr>
        <w:t>The Journal of Academic Librarianship,</w:t>
      </w:r>
      <w:r w:rsidRPr="0084778E">
        <w:rPr>
          <w:rFonts w:cs="Times New Roman"/>
          <w:szCs w:val="20"/>
        </w:rPr>
        <w:t xml:space="preserve"> 42(3), 281-283.</w:t>
      </w:r>
    </w:p>
    <w:p w14:paraId="1B1B1D30"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rPr>
        <w:t>Lorenzo, G., &amp; Dziuban, C.D. (2006). Ensuring the Net Generation Is Net Savvy.</w:t>
      </w:r>
      <w:r w:rsidRPr="0084778E">
        <w:rPr>
          <w:rFonts w:cs="Times New Roman"/>
          <w:szCs w:val="20"/>
          <w:cs/>
        </w:rPr>
        <w:t xml:space="preserve"> </w:t>
      </w:r>
      <w:r w:rsidRPr="0084778E">
        <w:rPr>
          <w:rFonts w:cs="Times New Roman"/>
          <w:i/>
          <w:iCs/>
          <w:szCs w:val="20"/>
        </w:rPr>
        <w:t>Educause Quarterly,</w:t>
      </w:r>
      <w:r w:rsidRPr="0084778E">
        <w:rPr>
          <w:rFonts w:cs="Times New Roman"/>
          <w:szCs w:val="20"/>
        </w:rPr>
        <w:t xml:space="preserve"> </w:t>
      </w:r>
      <w:r w:rsidRPr="0084778E">
        <w:rPr>
          <w:rFonts w:cs="Times New Roman"/>
          <w:szCs w:val="20"/>
          <w:cs/>
        </w:rPr>
        <w:t>30(1)</w:t>
      </w:r>
      <w:r w:rsidRPr="0084778E">
        <w:rPr>
          <w:rFonts w:cs="Times New Roman"/>
          <w:szCs w:val="20"/>
        </w:rPr>
        <w:t xml:space="preserve">, </w:t>
      </w:r>
      <w:r w:rsidRPr="0084778E">
        <w:rPr>
          <w:rFonts w:cs="Times New Roman"/>
          <w:szCs w:val="20"/>
          <w:cs/>
        </w:rPr>
        <w:t>6-12.</w:t>
      </w:r>
    </w:p>
    <w:p w14:paraId="7A3B8164" w14:textId="77777777" w:rsidR="00734EF8" w:rsidRPr="0084778E" w:rsidRDefault="00000000" w:rsidP="00734EF8">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Massler, U., Müller, W., Iurgel, I., Haake, S., Gantikow, A., &amp; Hadzilacos, T. (2022). Meaningful, gamified training of reading fluency. </w:t>
      </w:r>
      <w:r w:rsidRPr="0084778E">
        <w:rPr>
          <w:rFonts w:cs="Times New Roman"/>
          <w:i/>
          <w:iCs/>
          <w:szCs w:val="20"/>
          <w:shd w:val="clear" w:color="auto" w:fill="FFFFFF"/>
        </w:rPr>
        <w:t>Frontiers in Computer Science</w:t>
      </w:r>
      <w:r w:rsidRPr="0084778E">
        <w:rPr>
          <w:rFonts w:cs="Times New Roman"/>
          <w:szCs w:val="20"/>
          <w:shd w:val="clear" w:color="auto" w:fill="FFFFFF"/>
        </w:rPr>
        <w:t>, </w:t>
      </w:r>
      <w:r w:rsidRPr="0084778E">
        <w:rPr>
          <w:rFonts w:cs="Times New Roman"/>
          <w:i/>
          <w:iCs/>
          <w:szCs w:val="20"/>
          <w:shd w:val="clear" w:color="auto" w:fill="FFFFFF"/>
        </w:rPr>
        <w:t>4</w:t>
      </w:r>
      <w:r w:rsidRPr="0084778E">
        <w:rPr>
          <w:rFonts w:cs="Times New Roman"/>
          <w:szCs w:val="20"/>
          <w:shd w:val="clear" w:color="auto" w:fill="FFFFFF"/>
        </w:rPr>
        <w:t>, 968137.</w:t>
      </w:r>
      <w:r w:rsidRPr="0084778E">
        <w:rPr>
          <w:rFonts w:cs="Times New Roman"/>
          <w:szCs w:val="20"/>
        </w:rPr>
        <w:t xml:space="preserve"> </w:t>
      </w:r>
      <w:hyperlink r:id="rId21" w:history="1">
        <w:r w:rsidRPr="0084778E">
          <w:rPr>
            <w:rStyle w:val="Hyperlink"/>
            <w:rFonts w:cs="Times New Roman"/>
            <w:color w:val="auto"/>
            <w:szCs w:val="20"/>
            <w:shd w:val="clear" w:color="auto" w:fill="FFFFFF"/>
          </w:rPr>
          <w:t>https://doi.org/10.3389/fcomp.2022.968137</w:t>
        </w:r>
      </w:hyperlink>
    </w:p>
    <w:p w14:paraId="57DFDA0E"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rPr>
        <w:t xml:space="preserve">Miller, C., &amp; Bartlett, J. (2012). 'Digital fluency': towards young people's critical use of the internet. </w:t>
      </w:r>
      <w:r w:rsidRPr="0084778E">
        <w:rPr>
          <w:rFonts w:cs="Times New Roman"/>
          <w:i/>
          <w:iCs/>
          <w:szCs w:val="20"/>
        </w:rPr>
        <w:t>Journal of Information Literacy, 6</w:t>
      </w:r>
      <w:r w:rsidRPr="0084778E">
        <w:rPr>
          <w:rFonts w:cs="Times New Roman"/>
          <w:szCs w:val="20"/>
        </w:rPr>
        <w:t xml:space="preserve">(2), 35-55. </w:t>
      </w:r>
      <w:hyperlink r:id="rId22" w:history="1">
        <w:r w:rsidRPr="0084778E">
          <w:rPr>
            <w:rStyle w:val="Hyperlink"/>
            <w:rFonts w:cs="Times New Roman"/>
            <w:color w:val="auto"/>
            <w:szCs w:val="20"/>
          </w:rPr>
          <w:t>https://doi.org/10.11645/6.2.1714</w:t>
        </w:r>
      </w:hyperlink>
    </w:p>
    <w:p w14:paraId="41BD2753"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shd w:val="clear" w:color="auto" w:fill="FFFFFF"/>
        </w:rPr>
        <w:t xml:space="preserve">Murtadho, M. I., Rohmah, R. Y., Jamilah, Z., &amp; Furqon, M. (2023). The Role Of Digital </w:t>
      </w:r>
      <w:r w:rsidRPr="0084778E">
        <w:rPr>
          <w:rFonts w:cs="Times New Roman"/>
          <w:szCs w:val="20"/>
        </w:rPr>
        <w:t xml:space="preserve">Literacy In Improving Students’ Competence In Digital Era. AL-WIJDÃN Journal of Islamic Education Studies, 8(2), 253-260. </w:t>
      </w:r>
      <w:hyperlink r:id="rId23" w:history="1">
        <w:r w:rsidRPr="0084778E">
          <w:rPr>
            <w:rStyle w:val="Hyperlink"/>
            <w:rFonts w:cs="Times New Roman"/>
            <w:color w:val="auto"/>
            <w:szCs w:val="20"/>
          </w:rPr>
          <w:t>https://doi.org/10.58788/alwijdn.v8i2.2328</w:t>
        </w:r>
      </w:hyperlink>
    </w:p>
    <w:p w14:paraId="109A65A2" w14:textId="77777777" w:rsidR="00734EF8" w:rsidRPr="0084778E" w:rsidRDefault="00000000" w:rsidP="00734EF8">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Nenkov, G. Y., Haws, K. L., &amp; Kim, M. J. (2014). Fluency in future focus: Optimizing outcome elaboration strategies for effective self-control. </w:t>
      </w:r>
      <w:r w:rsidRPr="0084778E">
        <w:rPr>
          <w:rFonts w:cs="Times New Roman"/>
          <w:i/>
          <w:iCs/>
          <w:szCs w:val="20"/>
          <w:shd w:val="clear" w:color="auto" w:fill="FFFFFF"/>
        </w:rPr>
        <w:t>Social Psychological and Personality Science</w:t>
      </w:r>
      <w:r w:rsidRPr="0084778E">
        <w:rPr>
          <w:rFonts w:cs="Times New Roman"/>
          <w:szCs w:val="20"/>
          <w:shd w:val="clear" w:color="auto" w:fill="FFFFFF"/>
        </w:rPr>
        <w:t>, </w:t>
      </w:r>
      <w:r w:rsidRPr="0084778E">
        <w:rPr>
          <w:rFonts w:cs="Times New Roman"/>
          <w:i/>
          <w:iCs/>
          <w:szCs w:val="20"/>
          <w:shd w:val="clear" w:color="auto" w:fill="FFFFFF"/>
        </w:rPr>
        <w:t>5</w:t>
      </w:r>
      <w:r w:rsidRPr="0084778E">
        <w:rPr>
          <w:rFonts w:cs="Times New Roman"/>
          <w:szCs w:val="20"/>
          <w:shd w:val="clear" w:color="auto" w:fill="FFFFFF"/>
        </w:rPr>
        <w:t>(7), 769-776.</w:t>
      </w:r>
      <w:r w:rsidRPr="0084778E">
        <w:rPr>
          <w:rFonts w:cs="Times New Roman"/>
          <w:szCs w:val="20"/>
        </w:rPr>
        <w:t xml:space="preserve"> </w:t>
      </w:r>
      <w:hyperlink r:id="rId24" w:history="1">
        <w:r w:rsidRPr="0084778E">
          <w:rPr>
            <w:rStyle w:val="Hyperlink"/>
            <w:rFonts w:cs="Times New Roman"/>
            <w:color w:val="auto"/>
            <w:szCs w:val="20"/>
            <w:shd w:val="clear" w:color="auto" w:fill="FFFFFF"/>
          </w:rPr>
          <w:t>https://doi.org/10.1177/1948550614530005</w:t>
        </w:r>
      </w:hyperlink>
    </w:p>
    <w:p w14:paraId="0E39C076" w14:textId="77777777" w:rsidR="00D45525" w:rsidRPr="0084778E" w:rsidRDefault="00000000" w:rsidP="00D45525">
      <w:pPr>
        <w:widowControl w:val="0"/>
        <w:spacing w:line="360" w:lineRule="auto"/>
        <w:rPr>
          <w:rFonts w:cs="Times New Roman"/>
        </w:rPr>
      </w:pPr>
      <w:r w:rsidRPr="0084778E">
        <w:rPr>
          <w:rFonts w:cs="Times New Roman"/>
        </w:rPr>
        <w:t>NSW Department of Education. (2023). Information Fluency Framework. https://tinyurl.com/3zkh5xnf</w:t>
      </w:r>
    </w:p>
    <w:p w14:paraId="589922B7" w14:textId="77777777" w:rsidR="00734EF8" w:rsidRPr="0084778E" w:rsidRDefault="00000000" w:rsidP="00734EF8">
      <w:pPr>
        <w:widowControl w:val="0"/>
        <w:spacing w:line="360" w:lineRule="auto"/>
        <w:ind w:left="720" w:hanging="720"/>
        <w:rPr>
          <w:rFonts w:cs="Times New Roman"/>
          <w:szCs w:val="20"/>
        </w:rPr>
      </w:pPr>
      <w:r w:rsidRPr="0084778E">
        <w:rPr>
          <w:rFonts w:cs="Times New Roman"/>
          <w:szCs w:val="20"/>
        </w:rPr>
        <w:t>Office of the Education Council. (2017). The National Education Plan B.E. 2560-2579 (2017-2036). Bangkok: Office of the Education Council, Ministry of Education of Thailand.</w:t>
      </w:r>
    </w:p>
    <w:p w14:paraId="05D5BAFF" w14:textId="77777777" w:rsidR="00734EF8" w:rsidRPr="0084778E" w:rsidRDefault="00000000" w:rsidP="00734EF8">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Paramita, G. V., Godwin, R., Peranginangin, Y. A., Wisudha, A., &amp; Desson, S. (2023). The Road to Developing Students’ Digital Fluency: The Role of Personality Traits. In </w:t>
      </w:r>
      <w:r w:rsidRPr="0084778E">
        <w:rPr>
          <w:rFonts w:cs="Times New Roman"/>
          <w:i/>
          <w:iCs/>
          <w:szCs w:val="20"/>
          <w:shd w:val="clear" w:color="auto" w:fill="FFFFFF"/>
        </w:rPr>
        <w:t>E3S Web of Conferences</w:t>
      </w:r>
      <w:r w:rsidRPr="0084778E">
        <w:rPr>
          <w:rFonts w:cs="Times New Roman"/>
          <w:szCs w:val="20"/>
          <w:shd w:val="clear" w:color="auto" w:fill="FFFFFF"/>
        </w:rPr>
        <w:t> (Vol. 388, p. 04048). EDP Sciences.</w:t>
      </w:r>
      <w:r w:rsidRPr="0084778E">
        <w:rPr>
          <w:rFonts w:cs="Times New Roman"/>
          <w:szCs w:val="20"/>
        </w:rPr>
        <w:t xml:space="preserve"> </w:t>
      </w:r>
      <w:hyperlink r:id="rId25" w:history="1">
        <w:r w:rsidRPr="0084778E">
          <w:rPr>
            <w:rStyle w:val="Hyperlink"/>
            <w:rFonts w:cs="Times New Roman"/>
            <w:color w:val="auto"/>
            <w:szCs w:val="20"/>
            <w:shd w:val="clear" w:color="auto" w:fill="FFFFFF"/>
          </w:rPr>
          <w:t>https://doi.org/10.1051/e3sconf/202338804048</w:t>
        </w:r>
      </w:hyperlink>
    </w:p>
    <w:p w14:paraId="73738D6B" w14:textId="77777777" w:rsidR="00734EF8" w:rsidRPr="0084778E" w:rsidRDefault="00000000" w:rsidP="00734EF8">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 xml:space="preserve">Pimdee, P., &amp; Leekitchwatana, P. (2019). Structural </w:t>
      </w:r>
      <w:r w:rsidR="00D45525" w:rsidRPr="0084778E">
        <w:rPr>
          <w:rFonts w:cs="Times New Roman"/>
          <w:szCs w:val="20"/>
          <w:shd w:val="clear" w:color="auto" w:fill="FFFFFF"/>
        </w:rPr>
        <w:t>e</w:t>
      </w:r>
      <w:r w:rsidRPr="0084778E">
        <w:rPr>
          <w:rFonts w:cs="Times New Roman"/>
          <w:szCs w:val="20"/>
          <w:shd w:val="clear" w:color="auto" w:fill="FFFFFF"/>
        </w:rPr>
        <w:t xml:space="preserve">quation </w:t>
      </w:r>
      <w:r w:rsidR="00D45525" w:rsidRPr="0084778E">
        <w:rPr>
          <w:rFonts w:cs="Times New Roman"/>
          <w:szCs w:val="20"/>
          <w:shd w:val="clear" w:color="auto" w:fill="FFFFFF"/>
        </w:rPr>
        <w:t>m</w:t>
      </w:r>
      <w:r w:rsidRPr="0084778E">
        <w:rPr>
          <w:rFonts w:cs="Times New Roman"/>
          <w:szCs w:val="20"/>
          <w:shd w:val="clear" w:color="auto" w:fill="FFFFFF"/>
        </w:rPr>
        <w:t xml:space="preserve">odeling of </w:t>
      </w:r>
      <w:r w:rsidR="00D45525" w:rsidRPr="0084778E">
        <w:rPr>
          <w:rFonts w:cs="Times New Roman"/>
          <w:szCs w:val="20"/>
          <w:shd w:val="clear" w:color="auto" w:fill="FFFFFF"/>
        </w:rPr>
        <w:t>t</w:t>
      </w:r>
      <w:r w:rsidRPr="0084778E">
        <w:rPr>
          <w:rFonts w:cs="Times New Roman"/>
          <w:szCs w:val="20"/>
          <w:shd w:val="clear" w:color="auto" w:fill="FFFFFF"/>
        </w:rPr>
        <w:t xml:space="preserve">eaching </w:t>
      </w:r>
      <w:r w:rsidR="00D45525" w:rsidRPr="0084778E">
        <w:rPr>
          <w:rFonts w:cs="Times New Roman"/>
          <w:szCs w:val="20"/>
          <w:shd w:val="clear" w:color="auto" w:fill="FFFFFF"/>
        </w:rPr>
        <w:t>b</w:t>
      </w:r>
      <w:r w:rsidRPr="0084778E">
        <w:rPr>
          <w:rFonts w:cs="Times New Roman"/>
          <w:szCs w:val="20"/>
          <w:shd w:val="clear" w:color="auto" w:fill="FFFFFF"/>
        </w:rPr>
        <w:t xml:space="preserve">ehavior in Internet </w:t>
      </w:r>
      <w:r w:rsidR="00D45525" w:rsidRPr="0084778E">
        <w:rPr>
          <w:rFonts w:cs="Times New Roman"/>
          <w:szCs w:val="20"/>
          <w:shd w:val="clear" w:color="auto" w:fill="FFFFFF"/>
        </w:rPr>
        <w:t>u</w:t>
      </w:r>
      <w:r w:rsidRPr="0084778E">
        <w:rPr>
          <w:rFonts w:cs="Times New Roman"/>
          <w:szCs w:val="20"/>
          <w:shd w:val="clear" w:color="auto" w:fill="FFFFFF"/>
        </w:rPr>
        <w:t xml:space="preserve">se of </w:t>
      </w:r>
      <w:r w:rsidR="00D45525" w:rsidRPr="0084778E">
        <w:rPr>
          <w:rFonts w:cs="Times New Roman"/>
          <w:szCs w:val="20"/>
          <w:shd w:val="clear" w:color="auto" w:fill="FFFFFF"/>
        </w:rPr>
        <w:t>t</w:t>
      </w:r>
      <w:r w:rsidRPr="0084778E">
        <w:rPr>
          <w:rFonts w:cs="Times New Roman"/>
          <w:szCs w:val="20"/>
          <w:shd w:val="clear" w:color="auto" w:fill="FFFFFF"/>
        </w:rPr>
        <w:t>eachers in Thailand. </w:t>
      </w:r>
      <w:r w:rsidRPr="0084778E">
        <w:rPr>
          <w:rFonts w:cs="Times New Roman"/>
          <w:i/>
          <w:iCs/>
          <w:szCs w:val="20"/>
          <w:shd w:val="clear" w:color="auto" w:fill="FFFFFF"/>
        </w:rPr>
        <w:t>TEM Journal</w:t>
      </w:r>
      <w:r w:rsidRPr="0084778E">
        <w:rPr>
          <w:rFonts w:cs="Times New Roman"/>
          <w:szCs w:val="20"/>
          <w:shd w:val="clear" w:color="auto" w:fill="FFFFFF"/>
        </w:rPr>
        <w:t>, </w:t>
      </w:r>
      <w:r w:rsidRPr="0084778E">
        <w:rPr>
          <w:rFonts w:cs="Times New Roman"/>
          <w:i/>
          <w:iCs/>
          <w:szCs w:val="20"/>
          <w:shd w:val="clear" w:color="auto" w:fill="FFFFFF"/>
        </w:rPr>
        <w:t>8</w:t>
      </w:r>
      <w:r w:rsidRPr="0084778E">
        <w:rPr>
          <w:rFonts w:cs="Times New Roman"/>
          <w:szCs w:val="20"/>
          <w:shd w:val="clear" w:color="auto" w:fill="FFFFFF"/>
        </w:rPr>
        <w:t>(4).</w:t>
      </w:r>
      <w:r w:rsidR="00D45525" w:rsidRPr="0084778E">
        <w:rPr>
          <w:rFonts w:cs="Times New Roman"/>
        </w:rPr>
        <w:t xml:space="preserve"> </w:t>
      </w:r>
      <w:hyperlink r:id="rId26" w:history="1">
        <w:r w:rsidR="00D45525" w:rsidRPr="0084778E">
          <w:rPr>
            <w:rStyle w:val="Hyperlink"/>
            <w:rFonts w:cs="Times New Roman"/>
            <w:color w:val="auto"/>
            <w:szCs w:val="20"/>
            <w:shd w:val="clear" w:color="auto" w:fill="FFFFFF"/>
          </w:rPr>
          <w:t>http://dx.doi.org/10.18421/TEM84-56</w:t>
        </w:r>
      </w:hyperlink>
    </w:p>
    <w:p w14:paraId="33053855" w14:textId="77777777" w:rsidR="00734EF8" w:rsidRPr="0084778E" w:rsidRDefault="00000000" w:rsidP="00734EF8">
      <w:pPr>
        <w:widowControl w:val="0"/>
        <w:spacing w:line="360" w:lineRule="auto"/>
        <w:ind w:left="720" w:hanging="720"/>
        <w:rPr>
          <w:rFonts w:cs="Times New Roman"/>
          <w:szCs w:val="20"/>
          <w:lang w:val="nb-NO"/>
        </w:rPr>
      </w:pPr>
      <w:r w:rsidRPr="0084778E">
        <w:rPr>
          <w:rFonts w:cs="Times New Roman"/>
          <w:szCs w:val="20"/>
        </w:rPr>
        <w:t>Resnick, M. (</w:t>
      </w:r>
      <w:r w:rsidRPr="0084778E">
        <w:rPr>
          <w:rFonts w:cs="Times New Roman"/>
          <w:szCs w:val="20"/>
          <w:cs/>
        </w:rPr>
        <w:t xml:space="preserve">2002). </w:t>
      </w:r>
      <w:r w:rsidRPr="0084778E">
        <w:rPr>
          <w:rFonts w:cs="Times New Roman"/>
          <w:szCs w:val="20"/>
        </w:rPr>
        <w:t>Rethinking Learning in the Digital Age. In G. Kirkman</w:t>
      </w:r>
      <w:r w:rsidRPr="0084778E">
        <w:rPr>
          <w:rFonts w:cs="Times New Roman"/>
          <w:szCs w:val="20"/>
          <w:cs/>
        </w:rPr>
        <w:t xml:space="preserve"> (</w:t>
      </w:r>
      <w:r w:rsidRPr="0084778E">
        <w:rPr>
          <w:rFonts w:cs="Times New Roman"/>
          <w:szCs w:val="20"/>
        </w:rPr>
        <w:t xml:space="preserve">Ed.), </w:t>
      </w:r>
      <w:r w:rsidRPr="0084778E">
        <w:rPr>
          <w:rFonts w:cs="Times New Roman"/>
          <w:i/>
          <w:iCs/>
          <w:szCs w:val="20"/>
        </w:rPr>
        <w:t>The global information technology report: Readiness for the networked</w:t>
      </w:r>
      <w:r w:rsidRPr="0084778E">
        <w:rPr>
          <w:rFonts w:cs="Times New Roman"/>
          <w:i/>
          <w:iCs/>
          <w:szCs w:val="20"/>
          <w:cs/>
        </w:rPr>
        <w:t xml:space="preserve"> </w:t>
      </w:r>
      <w:r w:rsidRPr="0084778E">
        <w:rPr>
          <w:rFonts w:cs="Times New Roman"/>
          <w:i/>
          <w:iCs/>
          <w:szCs w:val="20"/>
        </w:rPr>
        <w:t>word.</w:t>
      </w:r>
      <w:r w:rsidRPr="0084778E">
        <w:rPr>
          <w:rFonts w:cs="Times New Roman"/>
          <w:szCs w:val="20"/>
        </w:rPr>
        <w:t xml:space="preserve"> </w:t>
      </w:r>
      <w:r w:rsidRPr="0084778E">
        <w:rPr>
          <w:rFonts w:cs="Times New Roman"/>
          <w:szCs w:val="20"/>
          <w:lang w:val="nb-NO"/>
        </w:rPr>
        <w:t>Oxford, UK: Oxford University Press.</w:t>
      </w:r>
    </w:p>
    <w:p w14:paraId="2D700938" w14:textId="77777777" w:rsidR="00F17873" w:rsidRDefault="00000000" w:rsidP="009A28F0">
      <w:pPr>
        <w:widowControl w:val="0"/>
        <w:spacing w:line="360" w:lineRule="auto"/>
        <w:ind w:left="720" w:hanging="720"/>
        <w:rPr>
          <w:rFonts w:cs="Times New Roman"/>
          <w:szCs w:val="20"/>
        </w:rPr>
      </w:pPr>
      <w:r w:rsidRPr="0084778E">
        <w:rPr>
          <w:rFonts w:cs="Times New Roman"/>
          <w:szCs w:val="20"/>
          <w:lang w:val="nb-NO"/>
        </w:rPr>
        <w:t>Rettig, J. &amp; Hagen, S.K. (</w:t>
      </w:r>
      <w:r w:rsidRPr="0084778E">
        <w:rPr>
          <w:rFonts w:cs="Times New Roman"/>
          <w:szCs w:val="20"/>
          <w:cs/>
        </w:rPr>
        <w:t xml:space="preserve">2003). </w:t>
      </w:r>
      <w:r w:rsidRPr="0084778E">
        <w:rPr>
          <w:rFonts w:cs="Times New Roman"/>
          <w:szCs w:val="20"/>
        </w:rPr>
        <w:t xml:space="preserve">Stakeholders and strategies in information fluency. </w:t>
      </w:r>
      <w:r w:rsidRPr="0084778E">
        <w:rPr>
          <w:rFonts w:cs="Times New Roman"/>
          <w:i/>
          <w:iCs/>
          <w:szCs w:val="20"/>
        </w:rPr>
        <w:t>Transformations: Liberal Arts in the Digital Age,</w:t>
      </w:r>
      <w:r w:rsidRPr="0084778E">
        <w:rPr>
          <w:rFonts w:cs="Times New Roman"/>
          <w:szCs w:val="20"/>
        </w:rPr>
        <w:t xml:space="preserve"> </w:t>
      </w:r>
      <w:r w:rsidRPr="0084778E">
        <w:rPr>
          <w:rFonts w:cs="Times New Roman"/>
          <w:i/>
          <w:iCs/>
          <w:szCs w:val="20"/>
          <w:cs/>
        </w:rPr>
        <w:t>1</w:t>
      </w:r>
      <w:r w:rsidRPr="0084778E">
        <w:rPr>
          <w:rFonts w:cs="Times New Roman"/>
          <w:szCs w:val="20"/>
          <w:cs/>
        </w:rPr>
        <w:t>(1).</w:t>
      </w:r>
    </w:p>
    <w:p w14:paraId="2F264717" w14:textId="025131E4" w:rsidR="00F17873" w:rsidRPr="00F17873" w:rsidRDefault="00F17873" w:rsidP="009A28F0">
      <w:pPr>
        <w:widowControl w:val="0"/>
        <w:spacing w:line="360" w:lineRule="auto"/>
        <w:ind w:left="720" w:hanging="720"/>
        <w:rPr>
          <w:rFonts w:cs="Times New Roman"/>
          <w:color w:val="222222"/>
          <w:szCs w:val="20"/>
          <w:shd w:val="clear" w:color="auto" w:fill="FFFFFF"/>
        </w:rPr>
      </w:pPr>
      <w:r w:rsidRPr="00F17873">
        <w:rPr>
          <w:rFonts w:cs="Times New Roman"/>
          <w:color w:val="222222"/>
          <w:szCs w:val="20"/>
          <w:shd w:val="clear" w:color="auto" w:fill="FFFFFF"/>
        </w:rPr>
        <w:t>Ruenphongphun, P., Sukkamart, A., &amp; Pimdee, P. (2021). Thai Undergraduate Digital Citizenship Skills Education: A Second-Order Confirmatory Factor Analysis. </w:t>
      </w:r>
      <w:r w:rsidRPr="00F17873">
        <w:rPr>
          <w:rFonts w:cs="Times New Roman"/>
          <w:i/>
          <w:iCs/>
          <w:color w:val="222222"/>
          <w:szCs w:val="20"/>
          <w:shd w:val="clear" w:color="auto" w:fill="FFFFFF"/>
        </w:rPr>
        <w:t>World Journal on Educational Technology: Current Issues</w:t>
      </w:r>
      <w:r w:rsidRPr="00F17873">
        <w:rPr>
          <w:rFonts w:cs="Times New Roman"/>
          <w:color w:val="222222"/>
          <w:szCs w:val="20"/>
          <w:shd w:val="clear" w:color="auto" w:fill="FFFFFF"/>
        </w:rPr>
        <w:t>, </w:t>
      </w:r>
      <w:r w:rsidRPr="00F17873">
        <w:rPr>
          <w:rFonts w:cs="Times New Roman"/>
          <w:i/>
          <w:iCs/>
          <w:color w:val="222222"/>
          <w:szCs w:val="20"/>
          <w:shd w:val="clear" w:color="auto" w:fill="FFFFFF"/>
        </w:rPr>
        <w:t>13</w:t>
      </w:r>
      <w:r w:rsidRPr="00F17873">
        <w:rPr>
          <w:rFonts w:cs="Times New Roman"/>
          <w:color w:val="222222"/>
          <w:szCs w:val="20"/>
          <w:shd w:val="clear" w:color="auto" w:fill="FFFFFF"/>
        </w:rPr>
        <w:t>(3), 370-385.</w:t>
      </w:r>
      <w:r w:rsidRPr="00F17873">
        <w:t xml:space="preserve"> </w:t>
      </w:r>
      <w:r w:rsidRPr="00F17873">
        <w:rPr>
          <w:rFonts w:cs="Times New Roman"/>
          <w:color w:val="222222"/>
          <w:szCs w:val="20"/>
          <w:shd w:val="clear" w:color="auto" w:fill="FFFFFF"/>
        </w:rPr>
        <w:t>https://doi.org/10.18844/wjet.v13i3.5937</w:t>
      </w:r>
    </w:p>
    <w:p w14:paraId="722B8EE0" w14:textId="3E1E6570" w:rsidR="009A28F0" w:rsidRPr="00E60D57" w:rsidRDefault="00000000" w:rsidP="009A28F0">
      <w:pPr>
        <w:widowControl w:val="0"/>
        <w:spacing w:line="360" w:lineRule="auto"/>
        <w:ind w:left="720" w:hanging="720"/>
        <w:rPr>
          <w:rFonts w:cs="Times New Roman"/>
          <w:szCs w:val="20"/>
        </w:rPr>
      </w:pPr>
      <w:r w:rsidRPr="00F17873">
        <w:rPr>
          <w:rFonts w:cs="Times New Roman"/>
          <w:szCs w:val="20"/>
          <w:lang w:eastAsia="zh-CN"/>
        </w:rPr>
        <w:lastRenderedPageBreak/>
        <w:t xml:space="preserve">Schumacker, R. E., &amp; Lomax, R. G. (2016). </w:t>
      </w:r>
      <w:r w:rsidRPr="00F17873">
        <w:rPr>
          <w:rFonts w:cs="Times New Roman"/>
          <w:i/>
          <w:iCs/>
          <w:szCs w:val="20"/>
          <w:lang w:eastAsia="zh-CN"/>
        </w:rPr>
        <w:t>A beginner’s guide to structural equation modeling</w:t>
      </w:r>
      <w:r w:rsidRPr="00F17873">
        <w:rPr>
          <w:rFonts w:cs="Times New Roman"/>
          <w:szCs w:val="20"/>
          <w:lang w:eastAsia="zh-CN"/>
        </w:rPr>
        <w:t xml:space="preserve">. </w:t>
      </w:r>
      <w:r w:rsidRPr="00F17873">
        <w:rPr>
          <w:rFonts w:cs="Times New Roman"/>
          <w:szCs w:val="20"/>
        </w:rPr>
        <w:t xml:space="preserve">(4th ed.). </w:t>
      </w:r>
      <w:r w:rsidRPr="00E60D57">
        <w:rPr>
          <w:rFonts w:cs="Times New Roman"/>
          <w:szCs w:val="20"/>
          <w:lang w:eastAsia="zh-CN"/>
        </w:rPr>
        <w:t>Routledge.</w:t>
      </w:r>
      <w:r w:rsidRPr="00E60D57">
        <w:rPr>
          <w:rFonts w:cs="Times New Roman"/>
          <w:szCs w:val="20"/>
        </w:rPr>
        <w:t xml:space="preserve"> </w:t>
      </w:r>
    </w:p>
    <w:p w14:paraId="1B308435" w14:textId="36708F2B" w:rsidR="00E60D57" w:rsidRPr="00E60D57" w:rsidRDefault="00E60D57" w:rsidP="00734EF8">
      <w:pPr>
        <w:widowControl w:val="0"/>
        <w:spacing w:line="360" w:lineRule="auto"/>
        <w:ind w:left="720" w:hanging="720"/>
        <w:rPr>
          <w:rFonts w:cs="Times New Roman"/>
          <w:color w:val="222222"/>
          <w:szCs w:val="20"/>
          <w:shd w:val="clear" w:color="auto" w:fill="FFFFFF"/>
        </w:rPr>
      </w:pPr>
      <w:r w:rsidRPr="00E60D57">
        <w:rPr>
          <w:rFonts w:cs="Times New Roman"/>
          <w:color w:val="222222"/>
          <w:szCs w:val="20"/>
          <w:shd w:val="clear" w:color="auto" w:fill="FFFFFF"/>
        </w:rPr>
        <w:t>Tavakol, M., &amp; Dennick, R. (2011). Making sense of Cronbach's alpha. </w:t>
      </w:r>
      <w:r w:rsidRPr="00E60D57">
        <w:rPr>
          <w:rFonts w:cs="Times New Roman"/>
          <w:i/>
          <w:iCs/>
          <w:color w:val="222222"/>
          <w:szCs w:val="20"/>
          <w:shd w:val="clear" w:color="auto" w:fill="FFFFFF"/>
        </w:rPr>
        <w:t xml:space="preserve">International </w:t>
      </w:r>
      <w:r>
        <w:rPr>
          <w:rFonts w:cs="Times New Roman"/>
          <w:i/>
          <w:iCs/>
          <w:color w:val="222222"/>
          <w:szCs w:val="20"/>
          <w:shd w:val="clear" w:color="auto" w:fill="FFFFFF"/>
        </w:rPr>
        <w:t>J</w:t>
      </w:r>
      <w:r w:rsidRPr="00E60D57">
        <w:rPr>
          <w:rFonts w:cs="Times New Roman"/>
          <w:i/>
          <w:iCs/>
          <w:color w:val="222222"/>
          <w:szCs w:val="20"/>
          <w:shd w:val="clear" w:color="auto" w:fill="FFFFFF"/>
        </w:rPr>
        <w:t xml:space="preserve">ournal of </w:t>
      </w:r>
      <w:r>
        <w:rPr>
          <w:rFonts w:cs="Times New Roman"/>
          <w:i/>
          <w:iCs/>
          <w:color w:val="222222"/>
          <w:szCs w:val="20"/>
          <w:shd w:val="clear" w:color="auto" w:fill="FFFFFF"/>
        </w:rPr>
        <w:t>M</w:t>
      </w:r>
      <w:r w:rsidRPr="00E60D57">
        <w:rPr>
          <w:rFonts w:cs="Times New Roman"/>
          <w:i/>
          <w:iCs/>
          <w:color w:val="222222"/>
          <w:szCs w:val="20"/>
          <w:shd w:val="clear" w:color="auto" w:fill="FFFFFF"/>
        </w:rPr>
        <w:t xml:space="preserve">edical </w:t>
      </w:r>
      <w:r>
        <w:rPr>
          <w:rFonts w:cs="Times New Roman"/>
          <w:i/>
          <w:iCs/>
          <w:color w:val="222222"/>
          <w:szCs w:val="20"/>
          <w:shd w:val="clear" w:color="auto" w:fill="FFFFFF"/>
        </w:rPr>
        <w:t>E</w:t>
      </w:r>
      <w:r w:rsidRPr="00E60D57">
        <w:rPr>
          <w:rFonts w:cs="Times New Roman"/>
          <w:i/>
          <w:iCs/>
          <w:color w:val="222222"/>
          <w:szCs w:val="20"/>
          <w:shd w:val="clear" w:color="auto" w:fill="FFFFFF"/>
        </w:rPr>
        <w:t>ducation</w:t>
      </w:r>
      <w:r w:rsidRPr="00E60D57">
        <w:rPr>
          <w:rFonts w:cs="Times New Roman"/>
          <w:color w:val="222222"/>
          <w:szCs w:val="20"/>
          <w:shd w:val="clear" w:color="auto" w:fill="FFFFFF"/>
        </w:rPr>
        <w:t>, </w:t>
      </w:r>
      <w:r w:rsidRPr="00E60D57">
        <w:rPr>
          <w:rFonts w:cs="Times New Roman"/>
          <w:i/>
          <w:iCs/>
          <w:color w:val="222222"/>
          <w:szCs w:val="20"/>
          <w:shd w:val="clear" w:color="auto" w:fill="FFFFFF"/>
        </w:rPr>
        <w:t>2</w:t>
      </w:r>
      <w:r w:rsidRPr="00E60D57">
        <w:rPr>
          <w:rFonts w:cs="Times New Roman"/>
          <w:color w:val="222222"/>
          <w:szCs w:val="20"/>
          <w:shd w:val="clear" w:color="auto" w:fill="FFFFFF"/>
        </w:rPr>
        <w:t>, 53</w:t>
      </w:r>
      <w:r>
        <w:rPr>
          <w:rFonts w:cs="Times New Roman"/>
          <w:color w:val="222222"/>
          <w:szCs w:val="20"/>
          <w:shd w:val="clear" w:color="auto" w:fill="FFFFFF"/>
        </w:rPr>
        <w:t>-55</w:t>
      </w:r>
      <w:r w:rsidRPr="00E60D57">
        <w:rPr>
          <w:rFonts w:cs="Times New Roman"/>
          <w:color w:val="222222"/>
          <w:szCs w:val="20"/>
          <w:shd w:val="clear" w:color="auto" w:fill="FFFFFF"/>
        </w:rPr>
        <w:t>.</w:t>
      </w:r>
      <w:r w:rsidRPr="00E60D57">
        <w:t xml:space="preserve"> </w:t>
      </w:r>
      <w:r w:rsidRPr="00E60D57">
        <w:rPr>
          <w:rFonts w:cs="Times New Roman"/>
          <w:color w:val="222222"/>
          <w:szCs w:val="20"/>
          <w:shd w:val="clear" w:color="auto" w:fill="FFFFFF"/>
        </w:rPr>
        <w:t>https://doi.org/10.5116%2Fijme.4dfb.8dfd</w:t>
      </w:r>
    </w:p>
    <w:p w14:paraId="0C150D81" w14:textId="7787435F" w:rsidR="00734EF8" w:rsidRPr="0084778E" w:rsidRDefault="00000000" w:rsidP="00734EF8">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Toleuzhan, A., Sarzhanova, G., Romanenko, S., Uteubayeva, E., &amp; Karbozova, G. (2023). The educational use of YouTube videos in communication fluency development in English: Digital learning and oral skills in secondary education. </w:t>
      </w:r>
      <w:r w:rsidRPr="0084778E">
        <w:rPr>
          <w:rFonts w:cs="Times New Roman"/>
          <w:i/>
          <w:iCs/>
          <w:szCs w:val="20"/>
          <w:shd w:val="clear" w:color="auto" w:fill="FFFFFF"/>
        </w:rPr>
        <w:t>International Journal of Education in Mathematics, Science and Technology</w:t>
      </w:r>
      <w:r w:rsidRPr="0084778E">
        <w:rPr>
          <w:rFonts w:cs="Times New Roman"/>
          <w:szCs w:val="20"/>
          <w:shd w:val="clear" w:color="auto" w:fill="FFFFFF"/>
        </w:rPr>
        <w:t>, </w:t>
      </w:r>
      <w:r w:rsidRPr="0084778E">
        <w:rPr>
          <w:rFonts w:cs="Times New Roman"/>
          <w:i/>
          <w:iCs/>
          <w:szCs w:val="20"/>
          <w:shd w:val="clear" w:color="auto" w:fill="FFFFFF"/>
        </w:rPr>
        <w:t>11</w:t>
      </w:r>
      <w:r w:rsidRPr="0084778E">
        <w:rPr>
          <w:rFonts w:cs="Times New Roman"/>
          <w:szCs w:val="20"/>
          <w:shd w:val="clear" w:color="auto" w:fill="FFFFFF"/>
        </w:rPr>
        <w:t>(1), 198-221.</w:t>
      </w:r>
      <w:r w:rsidRPr="0084778E">
        <w:rPr>
          <w:rFonts w:cs="Times New Roman"/>
          <w:szCs w:val="20"/>
        </w:rPr>
        <w:t xml:space="preserve"> </w:t>
      </w:r>
      <w:hyperlink r:id="rId27" w:history="1">
        <w:r w:rsidRPr="0084778E">
          <w:rPr>
            <w:rStyle w:val="Hyperlink"/>
            <w:rFonts w:cs="Times New Roman"/>
            <w:color w:val="auto"/>
            <w:szCs w:val="20"/>
            <w:shd w:val="clear" w:color="auto" w:fill="FFFFFF"/>
          </w:rPr>
          <w:t>https://doi.org/10.46328/ijemst.2983</w:t>
        </w:r>
      </w:hyperlink>
    </w:p>
    <w:p w14:paraId="1EB3D785" w14:textId="77777777" w:rsidR="00A418BC" w:rsidRPr="0084778E" w:rsidRDefault="00000000" w:rsidP="00A418BC">
      <w:pPr>
        <w:widowControl w:val="0"/>
        <w:spacing w:line="360" w:lineRule="auto"/>
        <w:ind w:left="720" w:hanging="720"/>
        <w:rPr>
          <w:rFonts w:cs="Times New Roman"/>
          <w:szCs w:val="20"/>
          <w:shd w:val="clear" w:color="auto" w:fill="FFFFFF"/>
        </w:rPr>
      </w:pPr>
      <w:r w:rsidRPr="0084778E">
        <w:rPr>
          <w:rFonts w:cs="Times New Roman"/>
          <w:szCs w:val="20"/>
        </w:rPr>
        <w:t xml:space="preserve">Wang, R., Wiesemes, R., &amp; Gibbons, C. (2012). Developing digital fluency through ubiquitous mobile devices: Findings from a small-scale study. </w:t>
      </w:r>
      <w:r w:rsidRPr="0084778E">
        <w:rPr>
          <w:rFonts w:cs="Times New Roman"/>
          <w:i/>
          <w:iCs/>
          <w:szCs w:val="20"/>
        </w:rPr>
        <w:t>Computers &amp; Education,</w:t>
      </w:r>
      <w:r w:rsidRPr="0084778E">
        <w:rPr>
          <w:rFonts w:cs="Times New Roman"/>
          <w:szCs w:val="20"/>
        </w:rPr>
        <w:t xml:space="preserve"> 58(1), </w:t>
      </w:r>
      <w:r w:rsidRPr="0084778E">
        <w:rPr>
          <w:rFonts w:cs="Times New Roman"/>
          <w:szCs w:val="20"/>
          <w:shd w:val="clear" w:color="auto" w:fill="FFFFFF"/>
        </w:rPr>
        <w:t>570-578.</w:t>
      </w:r>
      <w:r w:rsidRPr="0084778E">
        <w:rPr>
          <w:rFonts w:cs="Times New Roman"/>
        </w:rPr>
        <w:t xml:space="preserve"> </w:t>
      </w:r>
      <w:hyperlink r:id="rId28" w:history="1">
        <w:r w:rsidRPr="0084778E">
          <w:rPr>
            <w:rStyle w:val="Hyperlink"/>
            <w:rFonts w:cs="Times New Roman"/>
            <w:color w:val="auto"/>
            <w:szCs w:val="20"/>
            <w:shd w:val="clear" w:color="auto" w:fill="FFFFFF"/>
          </w:rPr>
          <w:t>https://doi.org/10.1016/j.compedu.2011.04.013</w:t>
        </w:r>
      </w:hyperlink>
    </w:p>
    <w:p w14:paraId="745FD1FE" w14:textId="77777777" w:rsidR="00A418BC" w:rsidRPr="0084778E" w:rsidRDefault="00000000" w:rsidP="00A418BC">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Ward, A. (2004). Enterprise skills and enterprise learning. </w:t>
      </w:r>
      <w:r w:rsidRPr="0084778E">
        <w:rPr>
          <w:rFonts w:cs="Times New Roman"/>
          <w:i/>
          <w:iCs/>
          <w:szCs w:val="20"/>
          <w:shd w:val="clear" w:color="auto" w:fill="FFFFFF"/>
        </w:rPr>
        <w:t>Foresight</w:t>
      </w:r>
      <w:r w:rsidRPr="0084778E">
        <w:rPr>
          <w:rFonts w:cs="Times New Roman"/>
          <w:szCs w:val="20"/>
          <w:shd w:val="clear" w:color="auto" w:fill="FFFFFF"/>
        </w:rPr>
        <w:t>, </w:t>
      </w:r>
      <w:r w:rsidRPr="0084778E">
        <w:rPr>
          <w:rFonts w:cs="Times New Roman"/>
          <w:i/>
          <w:iCs/>
          <w:szCs w:val="20"/>
          <w:shd w:val="clear" w:color="auto" w:fill="FFFFFF"/>
        </w:rPr>
        <w:t>6</w:t>
      </w:r>
      <w:r w:rsidRPr="0084778E">
        <w:rPr>
          <w:rFonts w:cs="Times New Roman"/>
          <w:szCs w:val="20"/>
          <w:shd w:val="clear" w:color="auto" w:fill="FFFFFF"/>
        </w:rPr>
        <w:t>(2), 104-109.</w:t>
      </w:r>
      <w:r w:rsidRPr="0084778E">
        <w:rPr>
          <w:rFonts w:cs="Times New Roman"/>
          <w:szCs w:val="20"/>
        </w:rPr>
        <w:t xml:space="preserve"> </w:t>
      </w:r>
      <w:hyperlink r:id="rId29" w:history="1">
        <w:r w:rsidRPr="0084778E">
          <w:rPr>
            <w:rStyle w:val="Hyperlink"/>
            <w:rFonts w:cs="Times New Roman"/>
            <w:color w:val="auto"/>
            <w:szCs w:val="20"/>
            <w:shd w:val="clear" w:color="auto" w:fill="FFFFFF"/>
          </w:rPr>
          <w:t>https://doi.org/10.1108/14636680410537565</w:t>
        </w:r>
      </w:hyperlink>
    </w:p>
    <w:p w14:paraId="1B0804D2" w14:textId="77777777" w:rsidR="00A418BC" w:rsidRPr="0084778E" w:rsidRDefault="00000000" w:rsidP="00A418BC">
      <w:pPr>
        <w:widowControl w:val="0"/>
        <w:spacing w:line="360" w:lineRule="auto"/>
        <w:ind w:left="720" w:hanging="720"/>
        <w:rPr>
          <w:rFonts w:cs="Times New Roman"/>
          <w:szCs w:val="20"/>
        </w:rPr>
      </w:pPr>
      <w:r w:rsidRPr="0084778E">
        <w:rPr>
          <w:rFonts w:cs="Times New Roman"/>
          <w:szCs w:val="20"/>
        </w:rPr>
        <w:t xml:space="preserve">Wang, Q., Myers, M. D., &amp; Sundaram, D. (2013). Digital natives and digital immigrants: Towards a model of digital fluency. </w:t>
      </w:r>
      <w:r w:rsidRPr="004942BE">
        <w:rPr>
          <w:rFonts w:cs="Times New Roman"/>
          <w:i/>
          <w:iCs/>
          <w:szCs w:val="20"/>
        </w:rPr>
        <w:t>Wirtschaftsinformatik, 55</w:t>
      </w:r>
      <w:r w:rsidRPr="004942BE">
        <w:rPr>
          <w:rFonts w:cs="Times New Roman"/>
          <w:szCs w:val="20"/>
        </w:rPr>
        <w:t xml:space="preserve">, 409-420. </w:t>
      </w:r>
      <w:hyperlink r:id="rId30" w:history="1">
        <w:r w:rsidRPr="004942BE">
          <w:rPr>
            <w:rStyle w:val="Hyperlink"/>
            <w:rFonts w:cs="Times New Roman"/>
            <w:color w:val="auto"/>
            <w:szCs w:val="20"/>
            <w:lang w:bidi="th-TH"/>
          </w:rPr>
          <w:t>https://doi.org/10.1007/s11576-013-0390-2</w:t>
        </w:r>
      </w:hyperlink>
    </w:p>
    <w:p w14:paraId="1DADB665" w14:textId="77777777" w:rsidR="00A418BC" w:rsidRPr="0084778E" w:rsidRDefault="00000000" w:rsidP="00A418BC">
      <w:pPr>
        <w:widowControl w:val="0"/>
        <w:spacing w:line="360" w:lineRule="auto"/>
        <w:ind w:left="720" w:hanging="720"/>
        <w:rPr>
          <w:rFonts w:cs="Times New Roman"/>
          <w:szCs w:val="20"/>
        </w:rPr>
      </w:pPr>
      <w:r w:rsidRPr="0084778E">
        <w:rPr>
          <w:rFonts w:cs="Times New Roman"/>
          <w:szCs w:val="20"/>
        </w:rPr>
        <w:t xml:space="preserve">White, G. K. (2013). Digital fluency: skills necessary for learning in the digital age. </w:t>
      </w:r>
      <w:hyperlink r:id="rId31" w:history="1">
        <w:r w:rsidRPr="0084778E">
          <w:rPr>
            <w:rStyle w:val="Hyperlink"/>
            <w:rFonts w:cs="Times New Roman"/>
            <w:color w:val="auto"/>
            <w:szCs w:val="20"/>
          </w:rPr>
          <w:t>https://research.acer.edu.au/digital_learning/6</w:t>
        </w:r>
      </w:hyperlink>
    </w:p>
    <w:p w14:paraId="2C3B0CD2" w14:textId="77777777" w:rsidR="009A28F0" w:rsidRPr="0084778E" w:rsidRDefault="00000000" w:rsidP="009A28F0">
      <w:pPr>
        <w:widowControl w:val="0"/>
        <w:spacing w:line="360" w:lineRule="auto"/>
        <w:ind w:left="720" w:hanging="720"/>
        <w:rPr>
          <w:rFonts w:cs="Times New Roman"/>
          <w:szCs w:val="20"/>
          <w:shd w:val="clear" w:color="auto" w:fill="FFFFFF"/>
        </w:rPr>
      </w:pPr>
      <w:r w:rsidRPr="0084778E">
        <w:rPr>
          <w:rFonts w:cs="Times New Roman"/>
          <w:szCs w:val="20"/>
          <w:shd w:val="clear" w:color="auto" w:fill="FFFFFF"/>
        </w:rPr>
        <w:t xml:space="preserve">Zhang, Y. (2010). </w:t>
      </w:r>
      <w:r w:rsidRPr="0084778E">
        <w:rPr>
          <w:rFonts w:cs="Times New Roman"/>
          <w:i/>
          <w:iCs/>
          <w:szCs w:val="20"/>
          <w:shd w:val="clear" w:color="auto" w:fill="FFFFFF"/>
        </w:rPr>
        <w:t xml:space="preserve">Defining </w:t>
      </w:r>
      <w:r w:rsidR="00A418BC" w:rsidRPr="0084778E">
        <w:rPr>
          <w:rFonts w:cs="Times New Roman"/>
          <w:i/>
          <w:iCs/>
          <w:szCs w:val="20"/>
          <w:shd w:val="clear" w:color="auto" w:fill="FFFFFF"/>
        </w:rPr>
        <w:t>w</w:t>
      </w:r>
      <w:r w:rsidRPr="0084778E">
        <w:rPr>
          <w:rFonts w:cs="Times New Roman"/>
          <w:i/>
          <w:iCs/>
          <w:szCs w:val="20"/>
          <w:shd w:val="clear" w:color="auto" w:fill="FFFFFF"/>
        </w:rPr>
        <w:t xml:space="preserve">orkplace </w:t>
      </w:r>
      <w:r w:rsidR="00A418BC" w:rsidRPr="0084778E">
        <w:rPr>
          <w:rFonts w:cs="Times New Roman"/>
          <w:i/>
          <w:iCs/>
          <w:szCs w:val="20"/>
          <w:shd w:val="clear" w:color="auto" w:fill="FFFFFF"/>
        </w:rPr>
        <w:t>i</w:t>
      </w:r>
      <w:r w:rsidRPr="0084778E">
        <w:rPr>
          <w:rFonts w:cs="Times New Roman"/>
          <w:i/>
          <w:iCs/>
          <w:szCs w:val="20"/>
          <w:shd w:val="clear" w:color="auto" w:fill="FFFFFF"/>
        </w:rPr>
        <w:t xml:space="preserve">nformation </w:t>
      </w:r>
      <w:r w:rsidR="00A418BC" w:rsidRPr="0084778E">
        <w:rPr>
          <w:rFonts w:cs="Times New Roman"/>
          <w:i/>
          <w:iCs/>
          <w:szCs w:val="20"/>
          <w:shd w:val="clear" w:color="auto" w:fill="FFFFFF"/>
        </w:rPr>
        <w:t>f</w:t>
      </w:r>
      <w:r w:rsidRPr="0084778E">
        <w:rPr>
          <w:rFonts w:cs="Times New Roman"/>
          <w:i/>
          <w:iCs/>
          <w:szCs w:val="20"/>
          <w:shd w:val="clear" w:color="auto" w:fill="FFFFFF"/>
        </w:rPr>
        <w:t xml:space="preserve">luency </w:t>
      </w:r>
      <w:r w:rsidR="00A418BC" w:rsidRPr="0084778E">
        <w:rPr>
          <w:rFonts w:cs="Times New Roman"/>
          <w:i/>
          <w:iCs/>
          <w:szCs w:val="20"/>
          <w:shd w:val="clear" w:color="auto" w:fill="FFFFFF"/>
        </w:rPr>
        <w:t>s</w:t>
      </w:r>
      <w:r w:rsidRPr="0084778E">
        <w:rPr>
          <w:rFonts w:cs="Times New Roman"/>
          <w:i/>
          <w:iCs/>
          <w:szCs w:val="20"/>
          <w:shd w:val="clear" w:color="auto" w:fill="FFFFFF"/>
        </w:rPr>
        <w:t xml:space="preserve">kills </w:t>
      </w:r>
      <w:r w:rsidR="00A418BC" w:rsidRPr="0084778E">
        <w:rPr>
          <w:rFonts w:cs="Times New Roman"/>
          <w:i/>
          <w:iCs/>
          <w:szCs w:val="20"/>
          <w:shd w:val="clear" w:color="auto" w:fill="FFFFFF"/>
        </w:rPr>
        <w:t>f</w:t>
      </w:r>
      <w:r w:rsidRPr="0084778E">
        <w:rPr>
          <w:rFonts w:cs="Times New Roman"/>
          <w:i/>
          <w:iCs/>
          <w:szCs w:val="20"/>
          <w:shd w:val="clear" w:color="auto" w:fill="FFFFFF"/>
        </w:rPr>
        <w:t xml:space="preserve">or </w:t>
      </w:r>
      <w:r w:rsidR="00A418BC" w:rsidRPr="0084778E">
        <w:rPr>
          <w:rFonts w:cs="Times New Roman"/>
          <w:i/>
          <w:iCs/>
          <w:szCs w:val="20"/>
          <w:shd w:val="clear" w:color="auto" w:fill="FFFFFF"/>
        </w:rPr>
        <w:t>t</w:t>
      </w:r>
      <w:r w:rsidRPr="0084778E">
        <w:rPr>
          <w:rFonts w:cs="Times New Roman"/>
          <w:i/>
          <w:iCs/>
          <w:szCs w:val="20"/>
          <w:shd w:val="clear" w:color="auto" w:fill="FFFFFF"/>
        </w:rPr>
        <w:t xml:space="preserve">echnical </w:t>
      </w:r>
      <w:r w:rsidR="00A418BC" w:rsidRPr="0084778E">
        <w:rPr>
          <w:rFonts w:cs="Times New Roman"/>
          <w:i/>
          <w:iCs/>
          <w:szCs w:val="20"/>
          <w:shd w:val="clear" w:color="auto" w:fill="FFFFFF"/>
        </w:rPr>
        <w:t>c</w:t>
      </w:r>
      <w:r w:rsidRPr="0084778E">
        <w:rPr>
          <w:rFonts w:cs="Times New Roman"/>
          <w:i/>
          <w:iCs/>
          <w:szCs w:val="20"/>
          <w:shd w:val="clear" w:color="auto" w:fill="FFFFFF"/>
        </w:rPr>
        <w:t xml:space="preserve">ommunication </w:t>
      </w:r>
      <w:r w:rsidR="00A418BC" w:rsidRPr="0084778E">
        <w:rPr>
          <w:rFonts w:cs="Times New Roman"/>
          <w:i/>
          <w:iCs/>
          <w:szCs w:val="20"/>
          <w:shd w:val="clear" w:color="auto" w:fill="FFFFFF"/>
        </w:rPr>
        <w:t>s</w:t>
      </w:r>
      <w:r w:rsidRPr="0084778E">
        <w:rPr>
          <w:rFonts w:cs="Times New Roman"/>
          <w:i/>
          <w:iCs/>
          <w:szCs w:val="20"/>
          <w:shd w:val="clear" w:color="auto" w:fill="FFFFFF"/>
        </w:rPr>
        <w:t>tudents.</w:t>
      </w:r>
      <w:r w:rsidRPr="0084778E">
        <w:rPr>
          <w:rFonts w:cs="Times New Roman"/>
          <w:szCs w:val="20"/>
          <w:shd w:val="clear" w:color="auto" w:fill="FFFFFF"/>
        </w:rPr>
        <w:t xml:space="preserve"> [Doctoral </w:t>
      </w:r>
      <w:r w:rsidR="00A418BC" w:rsidRPr="0084778E">
        <w:rPr>
          <w:rFonts w:cs="Times New Roman"/>
          <w:szCs w:val="20"/>
          <w:shd w:val="clear" w:color="auto" w:fill="FFFFFF"/>
        </w:rPr>
        <w:t>Thesis</w:t>
      </w:r>
      <w:r w:rsidRPr="0084778E">
        <w:rPr>
          <w:rFonts w:cs="Times New Roman"/>
          <w:szCs w:val="20"/>
          <w:shd w:val="clear" w:color="auto" w:fill="FFFFFF"/>
        </w:rPr>
        <w:t xml:space="preserve">-University of Central Florida]. </w:t>
      </w:r>
      <w:hyperlink r:id="rId32" w:history="1">
        <w:r w:rsidRPr="0084778E">
          <w:rPr>
            <w:rStyle w:val="Hyperlink"/>
            <w:rFonts w:cs="Times New Roman"/>
            <w:color w:val="auto"/>
            <w:szCs w:val="20"/>
            <w:shd w:val="clear" w:color="auto" w:fill="FFFFFF"/>
          </w:rPr>
          <w:t>https://stars.library.ucf.edu/etd/4258/</w:t>
        </w:r>
      </w:hyperlink>
    </w:p>
    <w:sectPr w:rsidR="009A28F0" w:rsidRPr="0084778E" w:rsidSect="00FB059E">
      <w:footerReference w:type="even" r:id="rId33"/>
      <w:footerReference w:type="default" r:id="rId34"/>
      <w:headerReference w:type="first" r:id="rId35"/>
      <w:footerReference w:type="first" r:id="rId36"/>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BCF4" w14:textId="77777777" w:rsidR="00FB059E" w:rsidRDefault="00FB059E">
      <w:r>
        <w:separator/>
      </w:r>
    </w:p>
  </w:endnote>
  <w:endnote w:type="continuationSeparator" w:id="0">
    <w:p w14:paraId="1591E515" w14:textId="77777777" w:rsidR="00FB059E" w:rsidRDefault="00FB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203" w:usb1="288F0000" w:usb2="00000016" w:usb3="00000000" w:csb0="00040001" w:csb1="00000000"/>
  </w:font>
  <w:font w:name="Sarabu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7D0A1AEC" w14:textId="77777777" w:rsidR="004A2D3E" w:rsidRPr="004A2D3E" w:rsidRDefault="00000000"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31A29CA8" w14:textId="77777777" w:rsidR="004A2D3E" w:rsidRPr="004A2D3E" w:rsidRDefault="00000000"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679E1665" w14:textId="77777777" w:rsidR="00A21E2C" w:rsidRPr="00200F83" w:rsidRDefault="00000000" w:rsidP="000C776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0808" w14:textId="77777777" w:rsidR="00FB059E" w:rsidRDefault="00FB059E">
      <w:r>
        <w:separator/>
      </w:r>
    </w:p>
  </w:footnote>
  <w:footnote w:type="continuationSeparator" w:id="0">
    <w:p w14:paraId="15F41407" w14:textId="77777777" w:rsidR="00FB059E" w:rsidRDefault="00FB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0E0F" w14:textId="77777777" w:rsidR="003F2EB8" w:rsidRPr="003F2EB8" w:rsidRDefault="00000000" w:rsidP="003F2EB8">
    <w:pPr>
      <w:pStyle w:val="Header"/>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2F88"/>
    <w:multiLevelType w:val="multilevel"/>
    <w:tmpl w:val="7D8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14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evenAndOddHeaders/>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44F32"/>
    <w:rsid w:val="00050D78"/>
    <w:rsid w:val="000670F5"/>
    <w:rsid w:val="000747C1"/>
    <w:rsid w:val="00081E9E"/>
    <w:rsid w:val="000C776E"/>
    <w:rsid w:val="000D34A4"/>
    <w:rsid w:val="000D5CC1"/>
    <w:rsid w:val="000E5449"/>
    <w:rsid w:val="00100019"/>
    <w:rsid w:val="00120DC1"/>
    <w:rsid w:val="001552C4"/>
    <w:rsid w:val="00166C12"/>
    <w:rsid w:val="00176378"/>
    <w:rsid w:val="00182E82"/>
    <w:rsid w:val="001905F6"/>
    <w:rsid w:val="00193B7B"/>
    <w:rsid w:val="001B095D"/>
    <w:rsid w:val="001B6A76"/>
    <w:rsid w:val="001D7BCD"/>
    <w:rsid w:val="001E2231"/>
    <w:rsid w:val="001E7A6B"/>
    <w:rsid w:val="00200F83"/>
    <w:rsid w:val="00211108"/>
    <w:rsid w:val="00211D8D"/>
    <w:rsid w:val="00300B10"/>
    <w:rsid w:val="00304C08"/>
    <w:rsid w:val="003604CB"/>
    <w:rsid w:val="00395629"/>
    <w:rsid w:val="003A543C"/>
    <w:rsid w:val="003F1413"/>
    <w:rsid w:val="003F2DD4"/>
    <w:rsid w:val="003F2EB8"/>
    <w:rsid w:val="0040443F"/>
    <w:rsid w:val="004052F4"/>
    <w:rsid w:val="00406ABC"/>
    <w:rsid w:val="00417A87"/>
    <w:rsid w:val="00441EC3"/>
    <w:rsid w:val="00447DA6"/>
    <w:rsid w:val="00450143"/>
    <w:rsid w:val="00450227"/>
    <w:rsid w:val="004535A7"/>
    <w:rsid w:val="00460DB5"/>
    <w:rsid w:val="004942BE"/>
    <w:rsid w:val="004A2D3E"/>
    <w:rsid w:val="004A7B74"/>
    <w:rsid w:val="004B0316"/>
    <w:rsid w:val="004C01B6"/>
    <w:rsid w:val="004E6589"/>
    <w:rsid w:val="004F0A1C"/>
    <w:rsid w:val="00551C9B"/>
    <w:rsid w:val="00555CA1"/>
    <w:rsid w:val="0056132E"/>
    <w:rsid w:val="0056201F"/>
    <w:rsid w:val="00565123"/>
    <w:rsid w:val="005667F3"/>
    <w:rsid w:val="005827DB"/>
    <w:rsid w:val="00584FEB"/>
    <w:rsid w:val="00594454"/>
    <w:rsid w:val="00596A5F"/>
    <w:rsid w:val="005A1152"/>
    <w:rsid w:val="005B5915"/>
    <w:rsid w:val="005C3033"/>
    <w:rsid w:val="005E45AA"/>
    <w:rsid w:val="0061751E"/>
    <w:rsid w:val="006279C4"/>
    <w:rsid w:val="006652C9"/>
    <w:rsid w:val="006B2D49"/>
    <w:rsid w:val="006B3068"/>
    <w:rsid w:val="006D1697"/>
    <w:rsid w:val="006F04B7"/>
    <w:rsid w:val="00703605"/>
    <w:rsid w:val="00723FB7"/>
    <w:rsid w:val="00734EF8"/>
    <w:rsid w:val="00744DFA"/>
    <w:rsid w:val="0076255F"/>
    <w:rsid w:val="007755B7"/>
    <w:rsid w:val="00776437"/>
    <w:rsid w:val="00794067"/>
    <w:rsid w:val="007B0F9B"/>
    <w:rsid w:val="007B5319"/>
    <w:rsid w:val="007C0815"/>
    <w:rsid w:val="007C22BF"/>
    <w:rsid w:val="007D7E88"/>
    <w:rsid w:val="007E098D"/>
    <w:rsid w:val="0080448C"/>
    <w:rsid w:val="00824680"/>
    <w:rsid w:val="00826913"/>
    <w:rsid w:val="0084778E"/>
    <w:rsid w:val="00871255"/>
    <w:rsid w:val="00896351"/>
    <w:rsid w:val="008D4FAD"/>
    <w:rsid w:val="00967109"/>
    <w:rsid w:val="00990B96"/>
    <w:rsid w:val="009A28F0"/>
    <w:rsid w:val="009A294D"/>
    <w:rsid w:val="009F5356"/>
    <w:rsid w:val="00A21E2C"/>
    <w:rsid w:val="00A418BC"/>
    <w:rsid w:val="00A50551"/>
    <w:rsid w:val="00A56469"/>
    <w:rsid w:val="00A8570B"/>
    <w:rsid w:val="00AB2FE2"/>
    <w:rsid w:val="00AC70AA"/>
    <w:rsid w:val="00B00C9C"/>
    <w:rsid w:val="00B0536F"/>
    <w:rsid w:val="00B378C9"/>
    <w:rsid w:val="00B53264"/>
    <w:rsid w:val="00B55656"/>
    <w:rsid w:val="00B55C75"/>
    <w:rsid w:val="00B607D5"/>
    <w:rsid w:val="00B95DC3"/>
    <w:rsid w:val="00BB39AA"/>
    <w:rsid w:val="00BC124A"/>
    <w:rsid w:val="00BD0974"/>
    <w:rsid w:val="00C4627A"/>
    <w:rsid w:val="00C46592"/>
    <w:rsid w:val="00C7299E"/>
    <w:rsid w:val="00C809BF"/>
    <w:rsid w:val="00CA586A"/>
    <w:rsid w:val="00CD3266"/>
    <w:rsid w:val="00CD3E7A"/>
    <w:rsid w:val="00D27CED"/>
    <w:rsid w:val="00D34C81"/>
    <w:rsid w:val="00D45525"/>
    <w:rsid w:val="00D661E7"/>
    <w:rsid w:val="00D6757F"/>
    <w:rsid w:val="00D7219B"/>
    <w:rsid w:val="00D73CFF"/>
    <w:rsid w:val="00D849D2"/>
    <w:rsid w:val="00DB308E"/>
    <w:rsid w:val="00DC05F6"/>
    <w:rsid w:val="00DC135E"/>
    <w:rsid w:val="00DC2ABC"/>
    <w:rsid w:val="00DD52D4"/>
    <w:rsid w:val="00E14E45"/>
    <w:rsid w:val="00E41879"/>
    <w:rsid w:val="00E5048A"/>
    <w:rsid w:val="00E60D57"/>
    <w:rsid w:val="00E75C97"/>
    <w:rsid w:val="00E82207"/>
    <w:rsid w:val="00E97408"/>
    <w:rsid w:val="00EB4F66"/>
    <w:rsid w:val="00EC51AC"/>
    <w:rsid w:val="00ED4C2C"/>
    <w:rsid w:val="00EE1D32"/>
    <w:rsid w:val="00EE5907"/>
    <w:rsid w:val="00EF71D5"/>
    <w:rsid w:val="00EF7963"/>
    <w:rsid w:val="00F17873"/>
    <w:rsid w:val="00F2024F"/>
    <w:rsid w:val="00F207CE"/>
    <w:rsid w:val="00F3249D"/>
    <w:rsid w:val="00F32946"/>
    <w:rsid w:val="00F70134"/>
    <w:rsid w:val="00FB059E"/>
    <w:rsid w:val="00FB460B"/>
    <w:rsid w:val="00FE5EC8"/>
    <w:rsid w:val="00FF3BD7"/>
    <w:rsid w:val="00FF58D3"/>
    <w:rsid w:val="00FF7F9D"/>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Heading1">
    <w:name w:val="heading 1"/>
    <w:basedOn w:val="Normal"/>
    <w:link w:val="Heading1Char"/>
    <w:uiPriority w:val="9"/>
    <w:qFormat/>
    <w:rsid w:val="00DB308E"/>
    <w:pPr>
      <w:suppressAutoHyphens w:val="0"/>
      <w:spacing w:before="100" w:beforeAutospacing="1" w:after="100" w:afterAutospacing="1"/>
      <w:jc w:val="left"/>
      <w:outlineLvl w:val="0"/>
    </w:pPr>
    <w:rPr>
      <w:rFonts w:eastAsia="Times New Roman" w:cs="Times New Roman"/>
      <w:b/>
      <w:bCs/>
      <w:kern w:val="36"/>
      <w:sz w:val="48"/>
      <w:szCs w:val="48"/>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iPriority w:val="99"/>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 w:type="paragraph" w:styleId="NoSpacing">
    <w:name w:val="No Spacing"/>
    <w:uiPriority w:val="1"/>
    <w:qFormat/>
    <w:rsid w:val="00450143"/>
    <w:pPr>
      <w:spacing w:after="0" w:line="240" w:lineRule="auto"/>
    </w:pPr>
    <w:rPr>
      <w:lang w:val="en-MY"/>
    </w:rPr>
  </w:style>
  <w:style w:type="table" w:styleId="TableGrid">
    <w:name w:val="Table Grid"/>
    <w:basedOn w:val="TableNormal"/>
    <w:uiPriority w:val="59"/>
    <w:rsid w:val="00E9740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7408"/>
    <w:rPr>
      <w:rFonts w:ascii="TH SarabunPSK" w:hAnsi="TH SarabunPSK" w:cs="TH SarabunPSK" w:hint="default"/>
      <w:b w:val="0"/>
      <w:bCs w:val="0"/>
      <w:i w:val="0"/>
      <w:iCs w:val="0"/>
      <w:color w:val="000000"/>
      <w:sz w:val="32"/>
      <w:szCs w:val="32"/>
    </w:rPr>
  </w:style>
  <w:style w:type="character" w:customStyle="1" w:styleId="oxzekf">
    <w:name w:val="oxzekf"/>
    <w:basedOn w:val="DefaultParagraphFont"/>
    <w:rsid w:val="00734EF8"/>
  </w:style>
  <w:style w:type="character" w:styleId="UnresolvedMention">
    <w:name w:val="Unresolved Mention"/>
    <w:basedOn w:val="DefaultParagraphFont"/>
    <w:uiPriority w:val="99"/>
    <w:semiHidden/>
    <w:unhideWhenUsed/>
    <w:rsid w:val="00734EF8"/>
    <w:rPr>
      <w:color w:val="605E5C"/>
      <w:shd w:val="clear" w:color="auto" w:fill="E1DFDD"/>
    </w:rPr>
  </w:style>
  <w:style w:type="table" w:customStyle="1" w:styleId="1">
    <w:name w:val="เส้นตาราง1"/>
    <w:basedOn w:val="TableNormal"/>
    <w:next w:val="TableGrid"/>
    <w:uiPriority w:val="39"/>
    <w:rsid w:val="00A8570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9A28F0"/>
    <w:pPr>
      <w:spacing w:after="0" w:line="240" w:lineRule="auto"/>
    </w:pPr>
    <w:rPr>
      <w:rFonts w:ascii="Calibri" w:eastAsia="Calibri" w:hAnsi="Calibri" w:cs="Cordia New"/>
      <w:szCs w:val="28"/>
      <w:lang w:val="en-US" w:bidi="th-TH"/>
    </w:rPr>
  </w:style>
  <w:style w:type="table" w:styleId="TableGridLight">
    <w:name w:val="Grid Table Light"/>
    <w:basedOn w:val="TableNormal"/>
    <w:uiPriority w:val="40"/>
    <w:rsid w:val="00304C08"/>
    <w:pPr>
      <w:spacing w:after="0" w:line="240" w:lineRule="auto"/>
    </w:pPr>
    <w:rPr>
      <w:szCs w:val="28"/>
      <w:lang w:val="en-US" w:bidi="th-T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0443F"/>
    <w:pPr>
      <w:autoSpaceDE w:val="0"/>
      <w:autoSpaceDN w:val="0"/>
      <w:adjustRightInd w:val="0"/>
      <w:spacing w:after="0" w:line="240" w:lineRule="auto"/>
    </w:pPr>
    <w:rPr>
      <w:rFonts w:ascii="TH SarabunPSK" w:hAnsi="TH SarabunPSK" w:cs="TH SarabunPSK"/>
      <w:color w:val="000000"/>
      <w:sz w:val="24"/>
      <w:szCs w:val="24"/>
      <w:lang w:val="en-US" w:bidi="th-TH"/>
    </w:rPr>
  </w:style>
  <w:style w:type="character" w:customStyle="1" w:styleId="st">
    <w:name w:val="st"/>
    <w:basedOn w:val="DefaultParagraphFont"/>
    <w:rsid w:val="001E2231"/>
  </w:style>
  <w:style w:type="character" w:customStyle="1" w:styleId="c9dxtc">
    <w:name w:val="c9dxtc"/>
    <w:basedOn w:val="DefaultParagraphFont"/>
    <w:rsid w:val="00B00C9C"/>
  </w:style>
  <w:style w:type="paragraph" w:customStyle="1" w:styleId="Correspondencedetails">
    <w:name w:val="Correspondence details"/>
    <w:basedOn w:val="Normal"/>
    <w:qFormat/>
    <w:rsid w:val="00B00C9C"/>
    <w:pPr>
      <w:suppressAutoHyphens w:val="0"/>
      <w:spacing w:before="240" w:line="360" w:lineRule="auto"/>
      <w:jc w:val="left"/>
    </w:pPr>
    <w:rPr>
      <w:rFonts w:eastAsia="Times New Roman" w:cs="Times New Roman"/>
      <w:sz w:val="24"/>
      <w:szCs w:val="24"/>
      <w:lang w:val="en-GB" w:eastAsia="en-GB"/>
    </w:rPr>
  </w:style>
  <w:style w:type="character" w:customStyle="1" w:styleId="Heading1Char">
    <w:name w:val="Heading 1 Char"/>
    <w:basedOn w:val="DefaultParagraphFont"/>
    <w:link w:val="Heading1"/>
    <w:uiPriority w:val="9"/>
    <w:rsid w:val="00DB308E"/>
    <w:rPr>
      <w:rFonts w:ascii="Times New Roman" w:eastAsia="Times New Roman" w:hAnsi="Times New Roman" w:cs="Times New Roman"/>
      <w:b/>
      <w:bCs/>
      <w:kern w:val="36"/>
      <w:sz w:val="48"/>
      <w:szCs w:val="48"/>
      <w:lang w:val="en-US" w:bidi="th-TH"/>
    </w:rPr>
  </w:style>
  <w:style w:type="paragraph" w:customStyle="1" w:styleId="nova-legacy-e-listitem">
    <w:name w:val="nova-legacy-e-list__item"/>
    <w:basedOn w:val="Normal"/>
    <w:rsid w:val="00DB308E"/>
    <w:pPr>
      <w:suppressAutoHyphens w:val="0"/>
      <w:spacing w:before="100" w:beforeAutospacing="1" w:after="100" w:afterAutospacing="1"/>
      <w:jc w:val="left"/>
    </w:pPr>
    <w:rPr>
      <w:rFonts w:eastAsia="Times New Roman" w:cs="Times New Roman"/>
      <w:sz w:val="24"/>
      <w:szCs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68604">
      <w:bodyDiv w:val="1"/>
      <w:marLeft w:val="0"/>
      <w:marRight w:val="0"/>
      <w:marTop w:val="0"/>
      <w:marBottom w:val="0"/>
      <w:divBdr>
        <w:top w:val="none" w:sz="0" w:space="0" w:color="auto"/>
        <w:left w:val="none" w:sz="0" w:space="0" w:color="auto"/>
        <w:bottom w:val="none" w:sz="0" w:space="0" w:color="auto"/>
        <w:right w:val="none" w:sz="0" w:space="0" w:color="auto"/>
      </w:divBdr>
      <w:divsChild>
        <w:div w:id="176821422">
          <w:marLeft w:val="0"/>
          <w:marRight w:val="0"/>
          <w:marTop w:val="0"/>
          <w:marBottom w:val="75"/>
          <w:divBdr>
            <w:top w:val="none" w:sz="0" w:space="0" w:color="auto"/>
            <w:left w:val="none" w:sz="0" w:space="0" w:color="auto"/>
            <w:bottom w:val="none" w:sz="0" w:space="0" w:color="auto"/>
            <w:right w:val="none" w:sz="0" w:space="0" w:color="auto"/>
          </w:divBdr>
        </w:div>
        <w:div w:id="1753622964">
          <w:marLeft w:val="0"/>
          <w:marRight w:val="0"/>
          <w:marTop w:val="0"/>
          <w:marBottom w:val="75"/>
          <w:divBdr>
            <w:top w:val="none" w:sz="0" w:space="0" w:color="auto"/>
            <w:left w:val="none" w:sz="0" w:space="0" w:color="auto"/>
            <w:bottom w:val="none" w:sz="0" w:space="0" w:color="auto"/>
            <w:right w:val="none" w:sz="0" w:space="0" w:color="auto"/>
          </w:divBdr>
        </w:div>
        <w:div w:id="1648629147">
          <w:marLeft w:val="0"/>
          <w:marRight w:val="0"/>
          <w:marTop w:val="150"/>
          <w:marBottom w:val="150"/>
          <w:divBdr>
            <w:top w:val="none" w:sz="0" w:space="0" w:color="auto"/>
            <w:left w:val="none" w:sz="0" w:space="0" w:color="auto"/>
            <w:bottom w:val="none" w:sz="0" w:space="0" w:color="auto"/>
            <w:right w:val="none" w:sz="0" w:space="0" w:color="auto"/>
          </w:divBdr>
        </w:div>
        <w:div w:id="596912892">
          <w:marLeft w:val="-300"/>
          <w:marRight w:val="0"/>
          <w:marTop w:val="0"/>
          <w:marBottom w:val="150"/>
          <w:divBdr>
            <w:top w:val="none" w:sz="0" w:space="0" w:color="auto"/>
            <w:left w:val="none" w:sz="0" w:space="0" w:color="auto"/>
            <w:bottom w:val="none" w:sz="0" w:space="0" w:color="auto"/>
            <w:right w:val="none" w:sz="0" w:space="0" w:color="auto"/>
          </w:divBdr>
          <w:divsChild>
            <w:div w:id="127940216">
              <w:marLeft w:val="0"/>
              <w:marRight w:val="0"/>
              <w:marTop w:val="0"/>
              <w:marBottom w:val="0"/>
              <w:divBdr>
                <w:top w:val="none" w:sz="0" w:space="0" w:color="auto"/>
                <w:left w:val="none" w:sz="0" w:space="0" w:color="auto"/>
                <w:bottom w:val="none" w:sz="0" w:space="0" w:color="auto"/>
                <w:right w:val="none" w:sz="0" w:space="0" w:color="auto"/>
              </w:divBdr>
              <w:divsChild>
                <w:div w:id="1037269788">
                  <w:marLeft w:val="0"/>
                  <w:marRight w:val="0"/>
                  <w:marTop w:val="0"/>
                  <w:marBottom w:val="0"/>
                  <w:divBdr>
                    <w:top w:val="none" w:sz="0" w:space="0" w:color="auto"/>
                    <w:left w:val="none" w:sz="0" w:space="0" w:color="auto"/>
                    <w:bottom w:val="none" w:sz="0" w:space="0" w:color="auto"/>
                    <w:right w:val="none" w:sz="0" w:space="0" w:color="auto"/>
                  </w:divBdr>
                  <w:divsChild>
                    <w:div w:id="2072148088">
                      <w:marLeft w:val="0"/>
                      <w:marRight w:val="0"/>
                      <w:marTop w:val="0"/>
                      <w:marBottom w:val="0"/>
                      <w:divBdr>
                        <w:top w:val="none" w:sz="0" w:space="0" w:color="auto"/>
                        <w:left w:val="none" w:sz="0" w:space="0" w:color="auto"/>
                        <w:bottom w:val="none" w:sz="0" w:space="0" w:color="auto"/>
                        <w:right w:val="none" w:sz="0" w:space="0" w:color="auto"/>
                      </w:divBdr>
                      <w:divsChild>
                        <w:div w:id="1877542559">
                          <w:marLeft w:val="-150"/>
                          <w:marRight w:val="0"/>
                          <w:marTop w:val="0"/>
                          <w:marBottom w:val="0"/>
                          <w:divBdr>
                            <w:top w:val="none" w:sz="0" w:space="0" w:color="auto"/>
                            <w:left w:val="none" w:sz="0" w:space="0" w:color="auto"/>
                            <w:bottom w:val="none" w:sz="0" w:space="0" w:color="auto"/>
                            <w:right w:val="none" w:sz="0" w:space="0" w:color="auto"/>
                          </w:divBdr>
                          <w:divsChild>
                            <w:div w:id="1770202291">
                              <w:marLeft w:val="0"/>
                              <w:marRight w:val="0"/>
                              <w:marTop w:val="0"/>
                              <w:marBottom w:val="0"/>
                              <w:divBdr>
                                <w:top w:val="none" w:sz="0" w:space="0" w:color="auto"/>
                                <w:left w:val="none" w:sz="0" w:space="0" w:color="auto"/>
                                <w:bottom w:val="none" w:sz="0" w:space="0" w:color="auto"/>
                                <w:right w:val="none" w:sz="0" w:space="0" w:color="auto"/>
                              </w:divBdr>
                            </w:div>
                            <w:div w:id="2092920045">
                              <w:marLeft w:val="0"/>
                              <w:marRight w:val="0"/>
                              <w:marTop w:val="0"/>
                              <w:marBottom w:val="0"/>
                              <w:divBdr>
                                <w:top w:val="none" w:sz="0" w:space="0" w:color="auto"/>
                                <w:left w:val="none" w:sz="0" w:space="0" w:color="auto"/>
                                <w:bottom w:val="none" w:sz="0" w:space="0" w:color="auto"/>
                                <w:right w:val="none" w:sz="0" w:space="0" w:color="auto"/>
                              </w:divBdr>
                              <w:divsChild>
                                <w:div w:id="1654984385">
                                  <w:marLeft w:val="0"/>
                                  <w:marRight w:val="0"/>
                                  <w:marTop w:val="0"/>
                                  <w:marBottom w:val="0"/>
                                  <w:divBdr>
                                    <w:top w:val="none" w:sz="0" w:space="0" w:color="auto"/>
                                    <w:left w:val="none" w:sz="0" w:space="0" w:color="auto"/>
                                    <w:bottom w:val="none" w:sz="0" w:space="0" w:color="auto"/>
                                    <w:right w:val="none" w:sz="0" w:space="0" w:color="auto"/>
                                  </w:divBdr>
                                  <w:divsChild>
                                    <w:div w:id="1198733699">
                                      <w:marLeft w:val="0"/>
                                      <w:marRight w:val="0"/>
                                      <w:marTop w:val="0"/>
                                      <w:marBottom w:val="0"/>
                                      <w:divBdr>
                                        <w:top w:val="none" w:sz="0" w:space="0" w:color="auto"/>
                                        <w:left w:val="none" w:sz="0" w:space="0" w:color="auto"/>
                                        <w:bottom w:val="none" w:sz="0" w:space="0" w:color="auto"/>
                                        <w:right w:val="none" w:sz="0" w:space="0" w:color="auto"/>
                                      </w:divBdr>
                                      <w:divsChild>
                                        <w:div w:id="1480002753">
                                          <w:marLeft w:val="0"/>
                                          <w:marRight w:val="0"/>
                                          <w:marTop w:val="0"/>
                                          <w:marBottom w:val="0"/>
                                          <w:divBdr>
                                            <w:top w:val="none" w:sz="0" w:space="0" w:color="auto"/>
                                            <w:left w:val="none" w:sz="0" w:space="0" w:color="auto"/>
                                            <w:bottom w:val="none" w:sz="0" w:space="0" w:color="auto"/>
                                            <w:right w:val="none" w:sz="0" w:space="0" w:color="auto"/>
                                          </w:divBdr>
                                          <w:divsChild>
                                            <w:div w:id="755640098">
                                              <w:marLeft w:val="0"/>
                                              <w:marRight w:val="0"/>
                                              <w:marTop w:val="0"/>
                                              <w:marBottom w:val="0"/>
                                              <w:divBdr>
                                                <w:top w:val="none" w:sz="0" w:space="0" w:color="auto"/>
                                                <w:left w:val="none" w:sz="0" w:space="0" w:color="auto"/>
                                                <w:bottom w:val="none" w:sz="0" w:space="0" w:color="auto"/>
                                                <w:right w:val="none" w:sz="0" w:space="0" w:color="auto"/>
                                              </w:divBdr>
                                              <w:divsChild>
                                                <w:div w:id="474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0203807644" TargetMode="External"/><Relationship Id="rId18" Type="http://schemas.openxmlformats.org/officeDocument/2006/relationships/hyperlink" Target="http://doi.org/10.1080/10705519909540118" TargetMode="External"/><Relationship Id="rId26" Type="http://schemas.openxmlformats.org/officeDocument/2006/relationships/hyperlink" Target="http://dx.doi.org/10.18421/TEM84-56" TargetMode="External"/><Relationship Id="rId21" Type="http://schemas.openxmlformats.org/officeDocument/2006/relationships/hyperlink" Target="https://doi.org/10.3389/fcomp.2022.96813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x.doi.org/10.1300/J295v03n01_07" TargetMode="External"/><Relationship Id="rId17" Type="http://schemas.openxmlformats.org/officeDocument/2006/relationships/hyperlink" Target="https://doi.org/10.1080/09500690701494076" TargetMode="External"/><Relationship Id="rId25" Type="http://schemas.openxmlformats.org/officeDocument/2006/relationships/hyperlink" Target="https://doi.org/10.1051/e3sconf/20233880404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03610918.2019.1698745" TargetMode="External"/><Relationship Id="rId20" Type="http://schemas.openxmlformats.org/officeDocument/2006/relationships/hyperlink" Target="https://doi.org/10.1145/3290768.3290773" TargetMode="External"/><Relationship Id="rId29" Type="http://schemas.openxmlformats.org/officeDocument/2006/relationships/hyperlink" Target="https://doi.org/10.1108/146366804105375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319-12364-6" TargetMode="External"/><Relationship Id="rId24" Type="http://schemas.openxmlformats.org/officeDocument/2006/relationships/hyperlink" Target="https://doi.org/10.1177/1948550614530005" TargetMode="External"/><Relationship Id="rId32" Type="http://schemas.openxmlformats.org/officeDocument/2006/relationships/hyperlink" Target="https://stars.library.ucf.edu/etd/425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7275/jyj1-4868" TargetMode="External"/><Relationship Id="rId23" Type="http://schemas.openxmlformats.org/officeDocument/2006/relationships/hyperlink" Target="https://doi.org/10.58788/alwijdn.v8i2.2328" TargetMode="External"/><Relationship Id="rId28" Type="http://schemas.openxmlformats.org/officeDocument/2006/relationships/hyperlink" Target="https://doi.org/10.1016/j.compedu.2011.04.013"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1016/j.heliyon.2022.e09183" TargetMode="External"/><Relationship Id="rId31" Type="http://schemas.openxmlformats.org/officeDocument/2006/relationships/hyperlink" Target="https://research.acer.edu.au/digital_learning/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40299-020-00505-1" TargetMode="External"/><Relationship Id="rId22" Type="http://schemas.openxmlformats.org/officeDocument/2006/relationships/hyperlink" Target="https://doi.org/10.11645/6.2.1714" TargetMode="External"/><Relationship Id="rId27" Type="http://schemas.openxmlformats.org/officeDocument/2006/relationships/hyperlink" Target="https://doi.org/10.46328/ijemst.2983" TargetMode="External"/><Relationship Id="rId30" Type="http://schemas.openxmlformats.org/officeDocument/2006/relationships/hyperlink" Target="https://doi.org/10.1007/s11576-013-0390-2"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B56-7BE0-40C3-8219-9A03785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6317</Words>
  <Characters>36007</Characters>
  <Application>Microsoft Office Word</Application>
  <DocSecurity>0</DocSecurity>
  <Lines>300</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2024-03-12T22:23:00Z</dcterms:created>
  <dcterms:modified xsi:type="dcterms:W3CDTF">2024-03-12T22:27:00Z</dcterms:modified>
</cp:coreProperties>
</file>